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2003 el Abogado don Luis Miguel Pérez Espadas formuló recurso de amparo en interés de don Moussa Ould Mahmaoud contra el Auto del Juzgado de Instrucción núm. 3 de Puerto del Rosario de 22 de agosto anterior, por el que se denegó la incoación de un procedimiento de habeas corpus. Solicitó que se le tuviera por parte en representación del Sr. Ould Mahmaoud, entendiéndose con él las sucesivas diligencias hasta que, dado que el citado Sr. Ould Mahmaoud tenía derecho a asistencia jurídica gratuita en virtud del artículo 22.1 de la Ley Orgánica 4/2000, de 11 de enero,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Cuarta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1 de marzo de 2005 la designación, con carácter provisional, de la colegiada doña María Jesús Fernández Salagre.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29 siguiente, el Ilustre Colegio de Abogados de Madrid comunicó que había procedido al archivo de la solicitud de asistencia jurídica gratuita de don Moussa Ould Mahmaoud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Ould Mahmaoud suponía, de acuerdo con el art. 18 LAJG, que quedara sin efecto la designación provisional efectuada en su día de la Procuradora doña María Jesús Fernández Salagre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5623-2003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Moussa Ould Mahmaoud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don Moussa Ould Mahmaoud,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don Moussa Ould Mahmaoud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 don Moussa Ould Mahmaoud.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Moussa Ould Mahmaoud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