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abril de 2008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escrito presentado en este Tribunal el 12 de mayo de de 2004, “Pelayo Mutua de seguros a prima fija”, representada por la Procuradora de los Tribunales doña María Asunción Miquel Aguado y asistida por el Abogado don Alberto Martín Antón, interpone recurso de amparo contra las Sentencias de 18 de diciembre de 2000 y de 29 de octubre de 2001 del Juzgado de Instrucción núm. 2 de Colmenar Viejo y contra la Sentencia de la Sección Decimoséptima de la Audiencia Provincial de Madrid de 15 de marzo de 2004.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Mediante comunicación de fecha 21 de marzo de 2007, la Presidenta Excma. Sra. doña María Emilia Casas Baamonde expone: “Que conforme a lo previsto en el art. 217 LOPJ, manifiesto mi voluntad de abstenerme en el conocimiento del recurso de amparo núm. 3013-2004, por entender que concurre la causa establecida legalmente en el art. 219.9 LOPJ, por mi relación de amistad con representantes de la entidad ‘Pelayo Mutua de seguros y reaseguros a prima fija’ ”.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Vista la comunicación efectuada por la Excma. Sra. doña María Emilia Casas Baamonde y de conformidad de lo previsto en el art. 80 de la Ley Orgánica del Tribunal Constitucional y el art. 219.9 de la Ley Orgánica del Poder Judicial, procede estimar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justificada la causa de abstención formulada en atención a la relación de amistad con representantes de la demandante de amparo “Pelayo Mutua de seguros a prima fija”.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A este respecto debe señalarse que “la imparcialidad subjetiva, entendiendo este concepto en el sentido que lo emplea el Tribunal Europeo de Derechos Humanos, [ha de concebirse] como la convicción personal del juez, lo que piensa en su fuero interno” (ATC 178/2005, de 9 de mayo, FJ 1). Por ello, al igual que hemos apreciado en un caso similar anterior, ante la duda de que la relación de amistad con representantes de la entidad Pelayo Mutua de seguros y reaseguros a prima fija, parte demandante en este proceso, manifestada por la Presidenta de este Tribunal “le impida ejercer su función imparcialmente —duda implícitamente formulada por [la propia Presidente] al manifestar su voluntad de abstenerse por este motivo—, la abstención debe entenderse justificada” (ATC antes citado, FJ 2).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la causa de abstención formulada por la Excma. Sra. doña María Emilia Casas Baamonde en el recurso de amparo núm. 3013-2004, apartándola definitivamente del referido recurso.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veintiocho de abril de dos mil ocho.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