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octubre de 2007 tiene entrada en el Registro General de este Tribunal, con el núm. 8300-2007, un escrito del Juzgado de lo Penal núm. 12 de Valencia al que se acompaña, junto al testimonio del correspondiente procedimiento (procedimiento abreviado 190-2007), el Auto del referido Juzgado de 18 de septiembre de 2007 en el que se acuerda plantear cuestión de inconstitucionalidad respecto al art. 153.1 del Código penal (CP) por su posible contradicción con los arts. 1, 9, 10, 14, 24 y 25 de la Constitución.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procedimientos, con los siguientes números de registro y Autos de cuestionamiento: 9744-2007, Auto de 29 de noviembre de 2007 (procedimiento abreviado 446-2007); 9745-2007, Auto de 24 de noviembre de 2007 (procedimiento abreviado 13-2007); 2-2008, Auto de 20 de noviembre de 2007 (procedimiento abreviado 390-2007); 716-2008, Auto de 15 de enero de 2008 (procedimiento abreviado476-2007); 1124-2008, Auto de 13 de diciembre de 2007 (procedimiento abreviado 339-2007) y 1879-2008, Auto de 25 de febrero de 2008 (procedimiento abreviado 583-2007).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 los arts. 1, 9, 10, 14, 24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acuerda, mediante las providencias respectivas, admitir a trámite las cuestiones que sobre la constitucionalidad del art. 153.1 CP ha planteado el Juzgado de lo Penal núm. 12 de Valencia,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se personaba y no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8300-2007 las seguidas con los números 9744-2007, 9745-2007, 2-2008, 716-2008, 1124-2008 y 1879-2008.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12 de junio de 2008,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art. 153.1 del Código penal, en su vigente redacción, dada por el art. 37 de la Ley Orgánica 1/2004, de medidas de protección integral contra la violencia de género; son los mismos artículos en los que se sustenta la duda de constitucionalidad, arts. 1, 9, 10, 14, 24 y 25 CE, y por la misma razón; y es la misma la argumentación que exponen los distintos Autos de planteamiento para sostener dicha duda, suscritos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las cuestiones núm. 9744-2007, 9745-2007, 2-2008, 716-2008, 1124-2008 y 1879-2008, a la cuestión núm. 8300-2007.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9744-2007, 9745-2007, 2-2008, 716-2008, 1124-2008 y 1879-2008 a la cuestión de inconstitucionalidad núm. 8300-2007, que seguirán así una misma tramitación hasta su resolución también única por el</w:t>
      </w:r>
    </w:p>
    <w:p w:rsidRPr="" w:rsidR="00AD51A7" w:rsidRDefault="008777C4">
      <w:pPr>
        <w:rPr/>
      </w:pPr>
      <w:r w:rsidRPr="&lt;w:rPr xmlns:w=&quot;http://schemas.openxmlformats.org/wordprocessingml/2006/main&quot;&gt;&lt;w:szCs w:val=&quot;24&quot; /&gt;&lt;/w:rPr&gt;">
        <w:rPr/>
        <w:t xml:space="preserve">Pleno,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