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194</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enero de 2008 tiene entrada en el Registro General de este Tribunal, con el núm. 1-2008, un escrito del Juzgado de lo Penal núm. 26 de Madrid al que acompaña, junto el testimonio del correspondiente procedimiento (procedimiento abreviado 326-2007), el Auto del referido Juzgado de 5 de diciembre de 2007, en el que se acuerda plantear cuestión de inconstitucionalidad respecto del art. 153.1 y 3 del Código Penal (CP) por su posible contradicción con los arts. 10 y 14 de la Constitución. </w:t>
      </w:r>
    </w:p>
    <w:p w:rsidRPr="00C21FFE" w:rsidR="00AD51A7" w:rsidRDefault="008777C4">
      <w:pPr>
        <w:rPr/>
      </w:pPr>
      <w:r w:rsidRPr="&lt;w:rPr xmlns:w=&quot;http://schemas.openxmlformats.org/wordprocessingml/2006/main&quot;&gt;&lt;w:lang w:val=&quot;es-ES_tradnl&quot; /&gt;&lt;/w:rPr&gt;">
        <w:rPr/>
        <w:t xml:space="preserve">Este mismo planteamiento lo realiza el mismo Juzgado en otro procedimiento, con el numero de registro 2169-2008, Auto de cuestionamiento de 6 de marzo de 2008 (procedimiento abreviado 51/2008).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los procedimientos reseñados se celebró el juicio oral, y tras el mismo, se acordó oír a las partes y al Ministerio Fiscal, por el plazo común e improrrogable de diez días, para que pudieran alegar sobre la pertinencia de plantear cuestión de inconstitucionalidad respecto al art. 153.1 y 3 CP por posible vulneración de los arts. 10 y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 este Tribunal acuerda, mediante las providencias respectivas, admitir a trámite las cuestiones que sobre la constitucionalidad del art. 153.1 y 3 CP ha planteado el Juzgado de lo Penal núm. 26 de Madrid,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puedan personarse en el proceso correspondiente y formular las alegaciones que estimen convenientes. En las mismas resoluciones se acuerda publicar la incoación de las cuestiones en el Boletín Oficial del Estado </w:t>
      </w:r>
    </w:p>
    <w:p w:rsidRPr="00C21FFE" w:rsidR="00AD51A7" w:rsidRDefault="008777C4">
      <w:pPr>
        <w:rPr/>
      </w:pPr>
      <w:r w:rsidRPr="&lt;w:rPr xmlns:w=&quot;http://schemas.openxmlformats.org/wordprocessingml/2006/main&quot;&gt;&lt;w:lang w:val=&quot;es-ES_tradnl&quot; /&gt;&lt;/w:rPr&gt;">
        <w:rPr/>
        <w:t xml:space="preserve">a) El Presidente del Senado comunica en los distintos procedimientos que la Mesa de la Cámara ha acordado personarse en los mismos y dar por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b) El Presidente del Congreso de los Diputados comunica en los distintos procedimientos el Acuerdo de la Mesa de la Cámara por el cual se personaba y no formulaba alegaciones en ellos, poniendo a disposición del Tribunal las actuaciones que pudiera precisar. </w:t>
      </w:r>
    </w:p>
    <w:p w:rsidRPr="00C21FFE" w:rsidR="00AD51A7" w:rsidRDefault="008777C4">
      <w:pPr>
        <w:rPr/>
      </w:pPr>
      <w:r w:rsidRPr="&lt;w:rPr xmlns:w=&quot;http://schemas.openxmlformats.org/wordprocessingml/2006/main&quot;&gt;&lt;w:lang w:val=&quot;es-ES_tradnl&quot; /&gt;&lt;/w:rPr&gt;">
        <w:rPr/>
        <w:t xml:space="preserve">c) El Abogado del Estado se persona en los referidos procedimientos en nombre del Gobierno, solicitando en sus escritos de alegaciones la desestimación de las cuestiones. </w:t>
      </w:r>
    </w:p>
    <w:p w:rsidRPr="00C21FFE" w:rsidR="00AD51A7" w:rsidRDefault="008777C4">
      <w:pPr>
        <w:rPr/>
      </w:pPr>
      <w:r w:rsidRPr="&lt;w:rPr xmlns:w=&quot;http://schemas.openxmlformats.org/wordprocessingml/2006/main&quot;&gt;&lt;w:lang w:val=&quot;es-ES_tradnl&quot; /&gt;&lt;/w:rPr&gt;">
        <w:rPr/>
        <w:t xml:space="preserve">c) En sus escritos de alegaciones en los citados procedimientos el Fiscal General del Estado considera que las cuestiones deben ser desestimadas.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mayo de 2008 el Pleno de este Tribunal concede un plazo de diez días al Abogado del Estado y al Fiscal General del Estado para que pueden alegar lo que estimen conveniente en torno a la acumulación a la cuestión de inconstitucionalidad 1-2008 la seguida con el número 2169-2008.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29 de mayo de 2008 el Abogado del Estado manifiesta que no se opone a la acumulación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17 de junio de 2008, el Fiscal General del Estado consideró procedente la acumulación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objetos conexos que justifiquen la unidad de tramitación y decisión. Se requiere, por tanto, la concurrencia de dos condiciones necesarias: por un lado, la conexión entre los objetos de los procesos de que se trate; por otro, que tal conexión sea relevante en orden a su tramitación y decisión unitarias o, lo que es lo mismo y expresado con las propias palabras del legislador, que la referida conexión justifique la unidad de tramitación y decisión (AATC 216/2002, de 29 de octubre, FJ 1; 417/2003, de 15 de diciembre, FJ 1; 479/2004, de 30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resulta indudable la concurrencia del primer requisito, pues el objeto de los procesos es coincidente: el precepto legal cuestionado es el mismo (art. 153.1 y 3 del Código penal, en su vigente redacción, dada por el art. 37 de la Ley Orgánica 1/2004, de medidas de protección integral contra la violencia de género); son los mismos artículos de la Constitución, el art. 10 (la dignidad de la persona) y el art. 14 (principio de igualdad) en los que se sustenta la duda constitucional; y es la misma la argumentación que exponen los distintos Autos de planteamiento para sostener dicha duda, suscritos todos ellos por el mismo Juzgado. Todo ello justifica una tramitación unitaria, para su mayor agilidad y para facilitar una resolución coherente de las cuestiones. Así lo confirma el interés mostrado en la acumulación por el Ministerio Fiscal y la falta de oposición a la misma del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acumulación debe hacerse de las cuestiones más modernas a la más antigua (art. 84 de la Ley de enjuiciamiento civil: LEC en relación con el art. 80 LOTC), por lo que, en el caso presente, procede la acumulación de la cuestión núm. 2169-2008 a la cuestión núm. 1-2008.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Acumular la cuestión de inconstitucionalidad núm. 2169-2008 a la cuestión de inconstitucionalidad núm. 1-2008, que seguirán así una misma tramitación hasta su resolución también única por el Pleno, desde el común estado procesal en que se hallan,</w:t>
      </w:r>
    </w:p>
    <w:p w:rsidRPr="" w:rsidR="00AD51A7" w:rsidRDefault="008777C4">
      <w:pPr>
        <w:rPr/>
      </w:pPr>
      <w:r w:rsidRPr="&lt;w:rPr xmlns:w=&quot;http://schemas.openxmlformats.org/wordprocessingml/2006/main&quot;&gt;&lt;w:szCs w:val=&quot;24&quot; /&gt;&lt;/w:rPr&gt;">
        <w:rPr/>
        <w:t xml:space="preserve">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