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marzo de 2006 don Cesáreo Hidalgo Senén interpuso recurso de amparo en nombre de don Jaime Allende Vidal-Abarca contra la Sentencia 285/2005, de 5 de octubre, del Juzgado de lo Contencioso-Administrativo núm. 1 de Elche, que tuvo por desistido a su representado del recurso contencioso-administrativo núm. 272-2005, con imposición de las costas. El mencionado recurso contencioso-administrativo se dirigía contra una resolución del Teniente de Alcalde delegado del Área de Urbanismo y Medio Ambiente del Ayuntamiento de Elche de 18 de agosto de 2004 que le había impuesto una multa por una infracción urbanística. En la demanda se alega que la resolución judicial impugnada vulneró el derecho del recurrente a la tutela judicial efectiva sin indefensión (art. 24.1 CE). En otrosí se pidió, con fundamento en el art. 56 LOTC, la suspensión de la Sentencia impugnada, pues tanto la misma como los Autos resolutorios de los incidentes de nulidad de actuaciones impusieron las costas al demandante, lo que agravó su situación, ya que tuvo que satisfacer al Ayuntamiento de Elche la multa impuesta, por lo que la suspensión no supondrá perturbación ni perjuicio para dicha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17 de abril de 2008 la Sección Segunda admitió a trámite el recurso de amparo y ordenó que se formara la presente pieza de suspensión. En otra providencia de la misma fecha se acordó conceder el plazo común de tres días al solicitante de amparo y al Ministerio Fiscal para que dentro del mismo alegaran los que creyeran pertinente en relación con la suspensión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mayo pasado presentó sus alegaciones el Ministerio Fiscal. Tras hacer referencia a la excepcionalidad de la medida cautelar de suspensión, interesó la denegación de la misma al pedirse respecto de una condena de exclusivo contenido económico de la que no puede derivarse daños irreparables, toda vez que de prosperar el recurso de amparo sería posible su devolución, máxime cuando el obligado a ello en tal hipótesis es una entidad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dejó transcurrir el plazo concedido sin formular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su redacción anterior a la dispuesta en la Ley Orgánica 6/2007, de 24 de mayo, que es la aplicable en atención a la fecha de interposición del recurso de amparo del que dimana esta pieza separada (ATC 118/2008, de 28 de abril, FJ 1),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(ATC 188/2001, de 2 de julio, entre otros muchos).</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económico, pues ni se causa un perjuicio irreparable al obligado al pago por la Sentencia condenatoria, ni hace perder al amparo su finalidad (ATC 66/2008, de 25 de febrero, entre otros muchos), salvo que se acredite específicamente que se trate de cantidades que, por su importancia cuantitativa, puedan causar al actor graves quebrantos o perjuicios irreparables en el supuesto de un eventual otorgamiento del amparo (ATC 365/2004, de 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único perjuicio derivado de la ejecución de la Sentencia impugnada y de los Autos a que se hace referencia en la demanda es el de tener que satisfacer el importe de las costas, a cuyo pago ha sido condenado el demandante de amparo. Es, en consecuencia, ese pronunciamiento de condena el único cuya suspensión cabría plantearse, pues respecto del mantenimiento de la eficacia del pronunciamiento principal de la Sentencia impugnada, no alega el demandante, a quien incumbe la carga de hacerlo, perjuicio alguno que suponga el riesgo de pérdida de la finalidad del recurso de amparo: al no levantarse la mencionada carga, en lo que se refiere al pronunciamiento de tenerle por desistido del recurso contencioso-administrativo, se impide a este Tribunal efectuar la ponderación prevista en el art. 56 LOTC, por lo que resulta obligada la denegación de la medida cautelar solicitada (ATC 150/2005, de 18 de abril) en ese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imposición de las costas, la aplicación de la doctrina antes reseñada sobre la suspensión de la ejecución de las condenas de contenido económico nos lleva a denegar la medida cautelar interesada por el recurrente. La ejecución de la condena al pago de las costas procesales no le ocasionaría ningún perjuicio irreparable, al ser posible la restitución íntegra de lo que eventualmente se pague en caso de estimarse el amparo, sin que se haya acreditado la irreparabilidad del perjuicio derivado de su ejecución ni pueda deducirse que sin la suspensión perderá el recurso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Jaime Allende Vidal-Abarca.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