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marzo de 2008 tiene entrada en el Registro General de este Tribunal un escrito del Juzgado de lo Penal núm. 26 de Madrid al que se acompaña, junto al testimonio del correspondiente procedimiento, el Auto del referido Juzgado de 14 de marzo de 2008 en el que se acuerda plantear cuestión de inconstitucionalidad respecto al art. 153.1 y 153.3 del Código penal (CP) por su posible contradicción con los arts. 1.1, 10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dos Autos del mismo Juzgado que cuestionaban también el art. 153.1 CP. Las cuestiones a las que dieron lugar tales Autos fueron acumuladas y han dado lugar a la STC 101/2008, de 24 de julio. Un resumen del mismo se encuentra en el antecedente 3 de esta Sentencia, al que ahora procede que nos remitamos.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Auto de cuestionamiento que el art. 153.1 CP “es contrario a los valores de igualdad y justicia que consagra el art. 1.1 de la Constitución española, al valor de dignidad de la persona que consagra el art. 10 y al derecho fundamental de igual trato reconocido en el art. 14 de la Constitución”. </w:t>
      </w:r>
    </w:p>
    <w:p w:rsidRPr="00C21FFE" w:rsidR="00AD51A7" w:rsidRDefault="008777C4">
      <w:pPr>
        <w:rPr/>
      </w:pPr>
      <w:r w:rsidRPr="&lt;w:rPr xmlns:w=&quot;http://schemas.openxmlformats.org/wordprocessingml/2006/main&quot;&gt;&lt;w:lang w:val=&quot;es-ES_tradnl&quot; /&gt;&lt;/w:rPr&gt;">
        <w:rPr/>
        <w:t xml:space="preserve">En síntesis, interpreta el Magistrado que el art. 153.1 CP es un delito especial cuyo sujeto activo queda limitado al varón y el sujeto pasivo a la mujer (la ofendida) y que prevé una pena más grave que si la misma conducta es realizada por un sujeto activo mujer sobre un varón, y que “el trato desigual ante la Ley penal, fundado bien en el sexo de las personas, bien en la condición social de género, es contrario al valor igualdad y al derecho fundamental a la igualdad de trato, y es así que cuando la ley no reconoce la igualdad intrínseca y el derecho igual e inalienable a la integridad física y moral de todos los miembros de la familia humana, no cabe hablar del valor constitucional de Justicia”. </w:t>
      </w:r>
    </w:p>
    <w:p w:rsidRPr="00C21FFE" w:rsidR="00AD51A7" w:rsidRDefault="008777C4">
      <w:pPr>
        <w:rPr/>
      </w:pPr>
      <w:r w:rsidRPr="&lt;w:rPr xmlns:w=&quot;http://schemas.openxmlformats.org/wordprocessingml/2006/main&quot;&gt;&lt;w:lang w:val=&quot;es-ES_tradnl&quot; /&gt;&lt;/w:rPr&gt;">
        <w:rPr/>
        <w:t xml:space="preserve">En la parte dispositiva del Auto se incluye también el cuestionamiento del art. 153.3 CP, sin que en la fundamentación de la resolución se formule razonamiento autónomo alguno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mayo de 2008, la Sección Tercera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concluye su escrito de alegaciones, de 12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 Tal falta notoria de fundamento concurrirá “cuando resulte evidente que la norma legal cuestionada … es manifiestamente constitucional” (STC 27/1991, de 14 de febrero, FJ 3). Que esta evidencia se produzca sólo con carácter sobrevenido al 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respecto al art. 153.1 CP fueron planteadas con la misma argumentación por el mismo Magistrado-Juez como titular del Juzgado de Instrucción núm. 7 de Alcalá de Henares en las cuestiones que dieron lugar a la STC 82/2008, de 17 de julio, y por el mismo Juzgado de lo Penal num. 26 de Madrid en las cuestiones que han dado lugar a la STC 101/2008, de 24 de julio, Sentencias ambas que a su vez se remitían en lo esencial a lo resuelto en la STC 59/2008, de 14 de mayo. La identidad de objeto entre las presentes cuestiones y las ya resueltas, y el hecho de que éstas hayan sido desestimadas recientemente conducen a la conclusión de la inexistencia actual de la duda planteada.</w:t>
      </w:r>
    </w:p>
    <w:p w:rsidRPr="00C21FFE" w:rsidR="00AD51A7" w:rsidRDefault="008777C4">
      <w:pPr>
        <w:rPr/>
      </w:pPr>
      <w:r w:rsidRPr="&lt;w:rPr xmlns:w=&quot;http://schemas.openxmlformats.org/wordprocessingml/2006/main&quot;&gt;&lt;w:lang w:val=&quot;es-ES_tradnl&quot; /&gt;&lt;/w:rPr&gt;">
        <w:rPr/>
        <w:t xml:space="preserve">Tampoco resulta admisible la cuestión en lo que respecta al art. 153.3 CP, dada la ausencia de razonamiento que la sostenga y, por ello, la falta de una de las condiciones procesales (art. 37.1 LOTC) que el art. 35.2 LOTC exige al cuestionamiento (por todas, STC 17/1981, de 1 de junio, FJ 1; ATC 273/2005, de 21 de junio,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2346-2008, planteada por el Juzgado de lo Penal núm. 26 de Madrid respecto a los arts. 153.1 y 153.3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