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diciembre de 2007 tuvo entrada en el Registro General de este Tribunal un escrito del Juzgado de lo Contencioso-Administrativo núm. 2 de Córdoba al que se acompaña, junto con el testimonio del correspondiente procedimiento, el Auto de 4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820-2006) contra la resolución de la Junta Provincial de Hacienda de Córdoba por la que estima la reclamación económico-administrativa 4485-2005,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Juez de lo Contencioso-Administrativo núm. 2 de Córdoba dictó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demandante Enresa solicitó el planteamiento de la cuestión de inconstitucionalidad por los motivos ya expresados en su escrito de demanda en el proceso a quo. La representación procesal de la Junta de Andalucía manifestó su parecer desfavorable al planteamiento de la cuestión de inconstitucionalidad. La parte codemandada, Unión Fenosa Generación, S.A., y el Ministerio Fiscal estimaron procedente el planteamiento de la cuestión. </w:t>
      </w:r>
    </w:p>
    <w:p w:rsidRPr="00C21FFE" w:rsidR="00AD51A7" w:rsidRDefault="008777C4">
      <w:pPr>
        <w:rPr/>
      </w:pPr>
      <w:r w:rsidRPr="&lt;w:rPr xmlns:w=&quot;http://schemas.openxmlformats.org/wordprocessingml/2006/main&quot;&gt;&lt;w:lang w:val=&quot;es-ES_tradnl&quot; /&gt;&lt;/w:rPr&gt;">
        <w:rPr/>
        <w:t xml:space="preserve">d) El órgano judicial dictó el 3 de octubre de 2007 Auto en el que en su parte dispositiva plantea cuestión de inconstitucionalidad en relación con los arts. 56 a 64 de la Ley del Parlamento de Andalucía 18/2003, de 29 de diciembre, de medidas fiscales y administrativas, por posible vulneración de los arts. 133.1,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el Auto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el 27 de febrero de 2007 acordando tener por desistido al Abogado del Estado y el archivo de las actuaciones. Por esta razón estima que procede abordar la cuestión de fondo sobre el planteamiento de la cuestión de inconstitucionalidad, al haberse archivado el recurso interpuesto en su día.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limiten o condicionen el régimen de producción energética, lo que determina que no vulneren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derivados de los apartados 2 y 3 del art. 6 LOFCA, para concluir que existe una clara identidad ente ambos tributos dado que, a su juicio, el Impuesto sobre depósito de residuos radioactivos recae sobre materia imponible ya gravada por el Impuesto sobre actividades económicas al referirse a la misma actividad que este, (epígrafe 143.3 almacenamiento de residuos radiactivos), por lo que considera que el tributo autonómico puede ser contrario al art. 6.2 LOFCA (en realidad 6.3 LOFCA) en relación con el art. 133.2 CE. Y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Impuesto sobre depósito de residuos radioactivos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22 de mayo de 2008, se acordó oír al Fiscal General del Estado para que, en el plazo de diez días, alegara lo que considerara conveniente en relación con el cumplimiento de los requisitos procesales para su admisión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septiembre de 2008 el Fiscal General del Estado presentó su escrito de alegaciones en el que, tras la exposición de los antecedentes del caso,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las cuestiones de inconstitucionalidad carentes de los necesarios requisitos procesales que para su promoción se derivan de los arts. 163 CE y 35 a 37 LOTC o que resulten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según el Auto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al que, a su vez, se remiten los AATC 52/2008 y 53/2008, ambos de 12 de febrero, 128/2008, de 22 de mayo y 195/2008, de 1 de julio, en los cuales se inadmiten cuestiones de inconstitucionalidad idénticas a la aquí examinada y planteadas por los Juzgados de lo Contencioso-Administrativo núms. 2 y 4 de Córdoba. En el primero de los citados, el ATC 456/2007, dictado como consecuencia de la cuestión de inconstitucionalidad núm. 6895-2007, planteada por el Juzgado de lo Contencioso-Administrativo núm. 4 de Córdoba, estimamos, en sus fundamentos jurídicos 2 y 3, que el citado trámite de audiencia hubiera sido realizado correctamente si el órgano judicial, apreciada la duda de constitucionalidad suscitada en el proceso, la hubiera asumido y trasladado de forma autónoma a las partes y al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al que igualmente se remiten los ya mencionados AATC 52/2008, 53/2008, 128/2008 y 195/2008, en el que este Tribunal ha considerado que la cuestión planteada resultaba ser notoriamente infundada al apreciar que no se producía la vulneración de la prohibición de doble imposición contenida en el art. 6.3 LOFCA así como tampoco la del art. 157.2 CE en relación con el art. 9 LOFCA. Por ello, de acuerdo con las razones expuestas en el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9574-2007,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