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demandante fue sometida a un procedimiento de comprobación e inspección por parte de los órganos competentes de la Administración tributaria en relación con las declaraciones de IVA en el ejercicio 2000. Como consecuencia de dicho procedimiento se inició expediente sancionador por infracción tributaria que finalizó con la imposición de una sanción de 28.397,82 euros. La resolución administrativa sancionadora fue recurrida ante el Tribunal Económico-Administrativo de la región de Extremadura, que desestimó el recurso. Interpuesto recurso ante el Tribunal Superior de Justicia de Extremadura, éste también se pronunció en el mismo sentido desestimatorio en Sentencia de 30 de marzo de 2006. Contra la Sentencia del Tribunal Superior de Justicia de Extremadura la entidad mercantil demandante interpuso recurso de amparo, que tuvo entrada en este Tribunal el 27 de abril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 momento posterior, el 7 de septiembre de 2006, la entidad recurrente presentó escrito en este Tribunal solicitando la suspensión del acto administrativo impugnado, pues la Delegación especial de la Agencia Tributaria de Extremadura exige al recurrente el pago de las sanciones tributarias. El recurrente aduce que, si se ejecuta la sanción objeto de impugnación, la finalidad legítima del recurso de amparo se perdería. Alega también que no considera firme el acto administrativo impugnado y que el art. 35 de la Ley 1/98, de 26 de febrero, de derechos y garantías del contribuyente, excluye la necesidad de constituir garantía para obtener la suspensión del acto recurrido, bastando con la presentación en tiempo y forma del oportuno recurso o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por sendas providencias de 29 de marzo de 2007, acordó admitir a trámite la demanda de amparo y formar la oportuna pieza para la tramitación del incidente de suspensión, otorgando, de conformidad con lo dispuesto en el art. 56 LOTC, un plazo común de tres días a la entidad mercantil demandante de amparo y al Ministerio público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trámite de alegaciones conferido mediante escrito presentado en el Registro General de este Tribunal el 16 de abril de 2007, en el que interesó la denegación de la suspensión considerando que, con arreglo a la doctrina constitucional, al tratarse de una sanción de contenido económico, los perjuicios anejos a su ejecución son perfectamente reparables en caso de otorgarse el amparo (AATC 152/1996, 371/1996, 91/1997, 181/1998, 82/1998). Añade que dicho criterio se ve confirmado por el dato añadido de que la empresa recurrente no subviene a la carga que le asiste de acreditar los graves quebrantos que le causa el cumplimiento de lo resuelto, sino que, muy al contrario, no añade ninguna razón para tal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la sociedad mercantil demandante de amparo evacuó el trámite de alegaciones conferido mediante escrito presentado en el Registro General de este Tribunal el día 11 de abril de 2007, en el que reiteró la petición de suspensión del acto administrativo recurrido, afirmando que, de no acordarse ésta, perdería la finalidad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 la reciente reforma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Delegación especial de la Agencia Tributaria de Extremadura exige a la entidad mercantil recurrente el pago de una sanción tributaria. La sociedad demandante de amparo solicita la suspensión de la ejecución de la sanción objeto de impugnación por entender que, si se produjera la ejecución, la finalidad legítima del recurso se perdería. Este Tribunal viene declarando, de forma reiterada,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supuesto sometido a nuestro enjuiciamiento, no aduce razón alguna que justifique la pertinencia de la suspensión en su caso concreto por los irreparables perjuicios que pudiere acarrearle la imposibilidad material de atender a dicho pago, frustrando irremediablemente la finalidad del amparo impetrado.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