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julio de 2004, la Procuradora de los Tribunales doña Alicia Martín Yáñez, en nombre y representación de don Antonio Pintor López, interpuso recurso de amparo contra la Sentencia de 9 de junio de 2001 de la Sección Segunda de la Audiencia Provincial de Almería, rollo núm. 207-2003 del procedimiento abreviado núm. 425-2003 procedente del Juzgado de lo Penal núm. 1 de Almería que le condenó como autor de tres delitos de calumnias a una única pena de nueve meses de multa a razón de 6 € al día, pago de costas e indemnización de 4.000 €, más los intereses legales, a cada una de los tres afectados. Por otrosí, en la misma demanda de amparo se solicitó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25 de noviembre de 2008, la Sala Segunda del Tribunal Constitucional acordó admitir a trámite la demanda de conformidad con lo previsto en el art. 50.1 de la Ley Orgánica del Tribunal Constitucional, redactado por la Ley Orgánica 6/2007, de 24 de mayo, y formar la correspondiente pieza separada de suspensión de conformidad con lo solicitado por el demandante; y, de conformidad con lo prevenido en el art. 56 de la Ley Orgánica del Tribunal Constitucional, conceder un plazo común de tres días a la parte recurrente y al Ministerio Fiscal para que, dentro de dicho término, alegaran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trámite de alegaciones mediante escrito registrado en este Tribunal con fecha de 20 de noviembre de 2008 en el que interesó la denegación de la solicitud de suspensión formalizada por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su parte, presentó escrito en relación con el señalado trámite el día 4 de diciembre de 2008. En el mismo se indica que el Juzgado de lo Penal no esperó a la resolución del Tribunal Constitucional y procedió en su día a ejecutar la Sentencia, por lo que solicita que se declare nula la ejecución de la Sentencia y se retrotraigan las actuaciones, en cuanto a la ejecución de la Sentencia, al momento en que el Sr. Pintor López efectuó el ingreso en la cuenta de depósitos del Juzgado la suma de 13.750 € y se ordene la devolución de dicho importe así como de los intereses legales.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este doctrina constitucional al presente asunto determina la denegación de la suspensión de la ejecución solicitada, pues, aparte de que el recurrente nada ha razonado y, menos aún, acreditado en su lacónica petición de suspensión, se trata de pronunciamientos de condena de efectos meramente patrimoniales que, por su contenido económico, admiten la restitución íntegra de lo ejecutado y, por tanto, no causan perjuicios de imposible reparación ni, por lo mismo, hacen perder al recurso de amparo su finalidad (AATC 40/2008, de 11 de febrero, 66/2008, de 25 de febrero, 174/2008, de 23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