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Recas Asesores de Inversión, S.L., recurso de amparo contra el Auto de la Sección Vigesimooctava de la Audiencia Provincial de Madrid, de 14 de abril de 2008, que desestimó el incidente de nulidad promovido contra su Auto anterior de 13 de marzo de 2008 que declaró no haber lugar al recurso de casación preparado contra el dictado con fecha de 29 de febrero de 2008, que desestimó el recurso de apelación núm. 503-2007 interpuesto contra el Auto dictado por el Juzgado de lo Mercantil núm. 7 de Madrid en el incidente concursal núm. 525-2007.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3881-2008.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