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7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marzo de 2007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14 de febrero de 2007, en el que se acuerda plantear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799-2004, interpuesto por Auxiliar Portuaria, S.L., contra el Acuerdo del Tribunal Económico-Administrativo Regional del País Vasco de 30 de marzo de 2004, en reclamación núm. 48-066-02, por el que se declaraba incompetente por razón de la materia para conocer de liquidación practicada por la autoridad portuaria de Bilbao núm. 2002-50002, por tarifa T-3, e importe de 60.846,11 euros. </w:t>
      </w:r>
    </w:p>
    <w:p w:rsidRPr="00C21FFE" w:rsidR="00AD51A7" w:rsidRDefault="008777C4">
      <w:pPr>
        <w:rPr/>
      </w:pPr>
      <w:r w:rsidRPr="&lt;w:rPr xmlns:w=&quot;http://schemas.openxmlformats.org/wordprocessingml/2006/main&quot;&gt;&lt;w:lang w:val=&quot;es-ES_tradnl&quot; /&gt;&lt;/w:rPr&gt;">
        <w:rPr/>
        <w:t xml:space="preserve">El recurso se oponía a la citada resolución tanto por razón de la competencia del Tribunal Econçomico-Administrativo Regional, como por la ilegalidad e inconstitucionalidad de la nueva liquidación girada respecto de un supuesto de hecho producido en el año 1992 que se anuló por Sentencia de la Sala de lo Contencioso-Administrativo de la Audiencia Nacional de 3 de junio de 1996, y que fue ejecutada por la autoridad portuaria de Bilbao mediante compensación con los importes de nuevas facturas amparadas en la disposición adicional trigésimo cuarta de la Ley 55/1999, la cual, al margen de otros motivos impugnatorios basados en la legalidad ordinaria, estimaba inconstitucional, por tratarse de disposición que regulaba una tarifa portuaria ocho años después de haberse producido el hecho imponible de la misma, dando lugar a un supuesto de retroactividad auténtica. Con cita de las SSTC 125/1987, de 15 de julio; 150/1990, de 4 de octubre; 197/1992, de 19 de noviembre; 173/1996, de 31 de octubre, ó 182/1997, de 28 de octubre,, entendía el órgano judicial que sólo exigencias cualificadas de interés general podrían imponer el sacrificio del principio de seguridad jurídica, exigencias que no existirían en el presente caso.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23 de marzo de 2006, acordó oír a las partes y al Ministerio Fiscal acerca del eventual planteamiento de la cuestión de inconstitucionalidad respecto de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 Este trámite fue sustanciado conforme a lo dispuesto en el art. 35.1 LOTC, y finalmente, el órgano judicial dictó Auto de planteamiento de la cuestión el día 14 de febrero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y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el plano de la certidumbre jurídica no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septiembre de 2007, el Pleno, a propuesta de la Sección Segunda del Tribunal Constitucional acordó admitir a trámite la cuestión de inconstitucionalidad, de conformidad con el art. 10.1 c) LOTC deferir a la Sala Primera, a la que por turno objetivo le ha correspondido, el conocimiento de la presente cuestión, y dar traslado de las actuaciones, conforme dispone el art. 37.3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 de octubre de 2007 el Presidente del Congreso de los Diputados comunicó al Tribunal que dicha Cámara se personaba en el proceso, ofreciendo su colaboración. El Presidente del Senado, mediante escrito registrado el día 10 de octubre de 2007,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18 de octubre de 2007, solicitando que este Tribunal dicte Sentencia desestimatoria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6 de noviembre de 2007 el Fiscal General del Estado formuló sus alegaciones, interesando de este Tribunal Constitucional que dicte Sentencia por la que se proceda a la declaración de inconstitucionalidad de la disposición adicional trigésimo cuarta de la Ley 55/1999, de 29 de diciembre, de medidas fiscales, administrativas y de orden social, por su eventual contradicción con el art. 9.3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En la STC 146/2009, de 15 de junio de 2009, estimatoria de la cuestión de inconstitucionalidad núm. 2917-2007, planteada por los mismos motivos y por el mismo órgano jurisdiccional, la Sección Primera de la Sala de lo Contencioso-Administrativo del Tribunal Superior de Justicia del País Vasco y dictada con posterioridad a la admisión a trámite de la presente cuestión, este Tribunal, aplicando la doctrina establecida en la STC 116/2009, de 18 de mayo, ha declarado inconstitucional y nulo el apartado primero de la disposición adicional trigésimo cuarta de la Ley 55/1999, de 29 de diciembre, de medidas fiscales, administrativas y de orden social, en la redacción dada al mismo por la Ley 14/2000, de 29 de diciembre. Igualmente, en aplicación de la referida STC 116/2009, la STC 161/2009, de 29 de junio, ha estimado la cuestión de inconstitucionalidad núm. 2918-2007 planteada por el mismo órgano judicial y, en consecuencia, ha declarado inconstitucional y nulo el apartado segundo de la referida disposición adicional trigésimo cuarta de la Ley 55/1999, de 29 de diciembre, en la redacción dada al mismo por la Ley 14/2000, de 29 de diciembre. Resoluciones ambas que, a partir del día siguiente de su publicación en el “Boletín Oficial del Estado”, tienen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sido anulada la norma jurídica cuestionada y con ello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2920-2007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