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15 de octubre de 2009 y que fue registrado como recurso núm. 8717-2009, don Antoni Rius i Cardona manifestó su intención de interponer recurso de amparo contra el Auto de 10 de junio de 2009 del Juzgado de lo Contencioso-Administrativo núm. 11 de Barcelona por el que se inadmitió un recurso contencioso-administrativo contra una resolución de la Comisión de asistencia jurídica gratuita de Barcelona (procedimiento abreviado núm. 289-2009).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Tercera de 19 de noviembre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febrero de 2010 se recibió en este Tribunal traslado de la resolución adoptada por la Comisión central de asistencia jurídica gratuita en su sesión de 15 de enero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5 de febrero de 2010, la Sección Tercera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marzo de 2010 llegó al Registro General de este Tribunal un escrito fechado el 3 de marzo de 2010 en el que don Antoni Rius i Cardona decía recusar a los Magistrados Excmos. Sres. don Guillermo Jiménez Sánchez, don Eugeni Gay Montalvo y don Pascual Sala Sánchez, integrantes de la Sección Tercera. Alegó que dichos Magistrados tienen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Tercera del criterio del Pleno y que los Magistrados de dicha Sección estaban inhabilitados para tomar cualquier decisión sobre el requerimiento contenido en la providencia de 5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el contenido de la providencia de 5 de febrero de 2010,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a pagara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habían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julio pasado el Excmo. Sr. Presidente de la Sala Segunda remitió al Pleno el escrito a que acaba de hacerse referencia junto con testimonio del recurso 8717-2009.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de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8717-2009.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