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mayo de 2010, al que se acompaña el correspondiente Auto de fecha 12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el 22 de febrero de 2008 por una sociedad mercantil contra el Acuerdo del Tribunal Económico- Administrativo Regional del País Vasco de 27 de junio de 2007 desestimatorio de la reclamación interpuesta contra liquidación de la tarifa portuaria T-3 practicada por la Autoridad Portuaria de Bilbao. La actora formalizó su demanda, alegando la inconstitucionalidad del precepto legal aplicado por la autoridad portuaria. Tramitado dicho recurso la Sala dictó providencia el 16 de marzo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dicho trámite de alegaciones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12 de abril de 2010 se dictó Auto acordando el planteamiento de la presente cuestión de inconstitucionalidad. En el mismo, el órgano judicial proponente, tras precisar los antecedentes de hecho y concretar la evolución legislativa y la doctrina del Tribunal Supremo sobre el objeto del proceso, señala que, a su juicio, la situación es similar a la presentada en otros recursos ordinarios respecto de los cuales ya planteó cuestión de inconstitucionalidad y cuyo contenido reitera. </w:t>
      </w:r>
    </w:p>
    <w:p w:rsidRPr="00C21FFE" w:rsidR="00AD51A7" w:rsidRDefault="008777C4">
      <w:pPr>
        <w:rPr/>
      </w:pPr>
      <w:r w:rsidRPr="&lt;w:rPr xmlns:w=&quot;http://schemas.openxmlformats.org/wordprocessingml/2006/main&quot;&gt;&lt;w:lang w:val=&quot;es-ES_tradnl&quot; /&gt;&lt;/w:rPr&gt;">
        <w:rPr/>
        <w:t xml:space="preserve">En primer lugar, considera que la norma cuestionada, en la medida en que faculta a las autoridades portuarias para practicar nuevas liquidaciones, tomando como origen las anteriores anuladas por Sentencias judiciales firmes, basadas en la nulidad de las disposiciones que establecieron sus cuantías, quiebra el modelo constitucional que se deduce de los arts. 117.3 y 118, en relación con el art. 106.1 CE, que se caracteriza por dotar al Estado social y democrático de Derecho de un Poder Judicial independiente, que juzga con exclusividad y hace ejecutar lo juzgado, quedando los demás poderes públicos sujetos al cumplimiento y ejecución de lo resuelto en el proceso. A esos efectos, destaca que la norma cuestionada, en contradicción con el principio de reserva jurisdiccional y de cosa juzgada, suprime la potestad jurisdiccional al restablecer todos los efectos y consecuencias que por Sentencia judicial se habían considerado merecedores de anulación, dejando sin efecto las consecuencias materiales de la actividad jurisdiccional, neutralizando para los supuestos concretos que regula el control de la legalidad de la actuación administrativa establecido en el art. 106.1 CE y cuestionando la eficacia del derecho a la tutela judicial efectiva (art. 24.1 CE) de aquellos litigantes que promovieron en su día los procedimientos sentenciados en firme. </w:t>
      </w:r>
    </w:p>
    <w:p w:rsidRPr="00C21FFE" w:rsidR="00AD51A7" w:rsidRDefault="008777C4">
      <w:pPr>
        <w:rPr/>
      </w:pPr>
      <w:r w:rsidRPr="&lt;w:rPr xmlns:w=&quot;http://schemas.openxmlformats.org/wordprocessingml/2006/main&quot;&gt;&lt;w:lang w:val=&quot;es-ES_tradnl&quot; /&gt;&lt;/w:rPr&gt;">
        <w:rPr/>
        <w:t xml:space="preserve">A continuación afirma que “si bien la Sala ha sometido a las partes y al Ministerio Fiscal igualmente lo que se relaciona con la prohibición de retroactividad de las leyes restrictivas de derechos individuales, con referencia al art. 9.3, y sobre ello han podido hacer alegaciones dichos intervinientes en el proceso, no nos resulta este un aspecto verdaderamente significativo a la hora de suscitar la cuestión de inconstitucionalidad de la norma, y ello, porque, dadas las características excepcionales de dicha disposición, se sustrae en muy buena medida a ser contemplada desde la lógica con que la doctrina ha construido tal principio”. Sin embargo termina conectando su razonamiento con el principio de seguridad jurídica (art. 9.3 CE), en tanto que la norma cuestionada revitaliza para casos concretos unas disposiciones que ya existían al tiempo de producirse el hecho imponible y que habían sido declaradas nulas por resolución judicial, privándose de forma abrupta e ilegítima la eficacia de esas Sentencias firmes, y asimismo añade una amplia cita de la STC 116/2009, de 18 de mayo, de los fundamentos jurídicos 3 y 4, que declaró la inconstitucionalidad del apartado primero de la disposición adicional trigésimo cuarta de la Ley 55/1999, de 29 de diciembre, de medidas fiscales, administrativas y de orden social por vulnerar los principios de seguridad jurídica 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Primera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22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27 de octubre de 2010. En el mismo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STC 74/2010, de 18 de octubre, que ha declarado inconstitucional y nulo el mismo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 Primera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4111-2010,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