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mayo de 2010, al que se acompaña el correspondiente Auto de fecha 12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el 22 de febrero de 2008 por una sociedad mercantil contra el Acuerdo del Tribunal Económico- Administrativo Regional del País Vasco de 29 de junio de 2007 desestimatorio de la reclamación interpuesta contra liquidación de la tasa por servicios portuarios practicada por la Autoridad Portuaria de Bilbao. La actora formalizó su demanda alegando la inconstitucionalidad del precepto legal aplicado por la autoridad portuaria. Tramitado dicho recurso la Sala dictó providencia el 29 de octubre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tanto la demandante como el Ministerio Fiscal consideraron procedente el planteamiento de la cuestión de inconstitucionalidad,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2010 se dictó Auto acordando el planteamiento de la presente cuestión de inconstitucionalidad. En el mismo, el órgano judicial proponente, tras precisar los antecedentes de hecho,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y, de conformidad con lo dispuesto en el art. 10.1 c) LOTC en la redacción dada por la Ley Orgánica 6/2007, de 24 de mayo, deferir a la Sala Primera el conocimiento de la cuestión de inconstitucionalidad; asimismo acordó dar traslado de las actuaciones recibidas, conforme establece el art. 37.3 LOTC, al Congreso de los Diputados y al Senado, por conducto de sus Presidentes, al Gobierno, por conducto del Ministerio de Justicia, y al Fiscal General del Estado, al objeto de que pudieran personarse en el proceso y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22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27 de octubre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Sentencia del Tribunal Constitucional de 18 de octubre de 2010,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 Primera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4112-2010,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