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20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Decano de Madrid el 16 de marzo de 2010, recibido en el Registro General de este Tribunal el 22 de marzo del mismo año, don Jokin Mirena Sancho Biurrun, representado por el Procurador de los Tribunales don Javier Cuevas Rivas y asistido por la Letrada doña Amaia Izko Aramendia, interpuso recurso de amparo contra el Auto dictado por la Sección Tercera de la Sala de lo Penal de la Audiencia Nacional el 2 de febrero de 2010, que desestima el recurso de súplica interpuesto contra la providencia de 23 de diciembre de 2009, dictada en la ejecutoria 30-1996.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b) El 23 de diciembre de 2009 la Sección Tercera de la Sala de lo Penal de la Audiencia Nacional dictó providencia aprobando el licenciamiento definitivo del penado para el día 16 de agosto de 2019, rechazando así la propuesta formulada por el Centro penitenciario en el que se encontraba cumpliendo la condena, que proponía su licenciamiento definitivo para el día 8 de diciembre de 2009. </w:t>
      </w:r>
    </w:p>
    <w:p w:rsidRPr="00C21FFE" w:rsidR="00AD51A7" w:rsidRDefault="008777C4">
      <w:pPr>
        <w:rPr/>
      </w:pPr>
      <w:r w:rsidRPr="&lt;w:rPr xmlns:w=&quot;http://schemas.openxmlformats.org/wordprocessingml/2006/main&quot;&gt;&lt;w:lang w:val=&quot;es-ES_tradnl&quot; /&gt;&lt;/w:rPr&gt;">
        <w:rPr/>
        <w:t xml:space="preserve">c) Contra la anterior providencia interpuso recurso de súplica, que fue desestimado por Auto de 2 de febrero de 2010 que, del mismo modo que la providencia impugnada, se sustenta en el criterio iniciado por la Sala de lo Penal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del recurrente a la igualdad (art. 14), a la libertad y seguridad (art. 17.1 CE), a la tutela judicial efectiva (art. 24.1 CE) y los principios de legalidad (art. 25.1 CE) y seguridad jurídica, en cuanto que las penas privativas de libertad han de estar orientadas hacia la reeducación y reinserción social (art. 25.2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el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mayo de 2011 la Sala Segunda de este Tribunal acordó la admisión a trámite de la demanda de amparo, así como, a tenor de lo establecido en el art. 51 LOTC, requerir atentamente a la Sección Segunda de la Sala de lo Penal de la Audiencia Nacional para que remitiera testimonio de las actuaciones y emplazase a quienes fueron parte en el procedimiento, a excepción del demandante de amparo, para que pudieran comparecer en el presente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31 de mayo de 2011, el Ministerio Fiscal pide que se deniegue la suspensión solicitada, en atención al criterio seguido por este Tribunal en el ATC 206/2010, de 30 de diciembre, que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ha quedado expuesto, el recurrente en amparo impugna la providencia de la Sección Tercera de la Sala de lo Penal de la Audiencia Nacional de 23 de diciembre de 2009 -que rechazó el licenciamiento definitivo propuesto por el Centro penitenciario- así como el posterior Auto de 2 de febrero de 2010, que desestimó el recurso de súplica interpuesto contra la indicada providencia. De modo que las resoluciones judiciales recurridas en amparo no son aquellas que impusieron las penas privativas de libertad sino las que rechazaron aprobar la citada propuesta de licenciamiento definitivo; y ello en aplicación del criterio jurisprudencial acogido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Por tanto, lo que el recurrente pretende es que este Tribunal acuerde cautelarmente su inmediata puesta en libertad en tanto se resuelva el recurso de amparo y, en consecuencia, se pronuncie sobre si el recurrente habría cumplido ya su condena el día 8 de diciembre de 2009 (según sostiene de consuno con la propuesta de licenciamiento inicialmente formulada por el Centro penitenciario) o si, en cambio, no la extingue hasta el día 16 de agosto de 2019 (como es el criterio de las resoluciones de la Audiencia Nacional impugnadas),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Como ya dijimos en el ATC 214/2007, de 16 de abril, dictado en un caso similar, “ponderando los intereses en juego en los términos anteriormente expuestos, este Tribunal entiende que ha de prevalecer el interés general en mantener la eficacia de las resoluciones judiciales, a la vista de la gravedad de los hechos por los que el recurrente se encuentra cumpliendo condena y de las penas impuestas, como pone de relieve el Ministerio Fiscal, así como de la lejanía del tiempo de cumplimiento definitivo de la misma en la apreciación llevada a cabo por las resoluciones impugnadas (en este caso en el año 2019), lo que determinaría que la pérdida de la finalidad del amparo, caso de otorgarse el mismo, sería sólo parcial y puede atemperarse otorgando al recurso una tramitación preferente”.</w:t>
      </w:r>
    </w:p>
    <w:p w:rsidRPr="00C21FFE" w:rsidR="00AD51A7" w:rsidRDefault="008777C4">
      <w:pPr>
        <w:rPr/>
      </w:pPr>
      <w:r w:rsidRPr="&lt;w:rPr xmlns:w=&quot;http://schemas.openxmlformats.org/wordprocessingml/2006/main&quot;&gt;&lt;w:lang w:val=&quot;es-ES_tradnl&quot; /&gt;&lt;/w:rPr&gt;">
        <w:rPr/>
        <w:t xml:space="preserve">Ello conduce a la denegación de la suspensión solicitada, sin perjuicio de que -en la línea de lo que constituye la práctica habitual en aquellos casos en los que resulta directamente afectado el derecho a la libertad-, a la vista de los motivos de amparo y de los derechos fundamentales en juego, este Tribunal proceda a la tramitación y resolución urgente del recurso (AATC 419/1997, 267/1998, 369/2005, 214/2007).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Jokin Mirena Sancho Biurrun en el recurso de amparo núm. 2363-2010.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