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18 de julio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julio de 2010 tuvo entrada en el Registro General de este Tribunal escrito firmado por la Procuradora de los Tribunales doña María Otilia Esteban Gutiérrez, actuando en nombre y representación de don José Fernando Ariel Ávila, en virtud del cual interponía recurso de amparo contra la Sentencia de la Sección Primera de la Audiencia Provincial de Zaragoza, de 10 de julio de 2009, que condenó, entre otros, al actor, a las siguientes penas: como autor responsable de un delito de asesinato agravado, a la pena de veintidós años y seis meses de prisión, con la accesoria de inhabilitación absoluta durante el tiempo de la condena; como autor responsable de un delito de detención ilegal, a la pena de cinco años de prisión, con la accesoria de inhabilitación especial para el derecho de sufragio pasivo durante el tiempo de condena; como autor responsable de un delito continuado de robo con violencia e intimidación en las personas, a la pena de cinco años de prisión, con la accesoria de inhabilitación especial para el derecho de sufragio pasivo durante el tiempo de condena; y como autor responsable de un delito de tenencia ilícita de armas, a la pena de dos años y seis meses de prisión, con la accesoria de inhabilitación especial para el derecho de sufragio pasivo durante el tiempo de condena. Asimismo, se le impuso el abono de una indemnización solidariamente con los demás condenados y el pago proporcional de las costas. En el recurso se impugna también la Sentencia de la Sala Segunda del Tribunal Supremo de 2 de junio de 2010, que declaró no haber lugar al recurso de casación interpuesto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considera que se ha vulnerado, en primer lugar, su derecho al secreto de las comunicaciones telefónicas (art. 18.3 CE) al no haberse cumplido con los principios constitucionales básicos en las escuchas telefónicas que sirvieron para su condena. También se habrían vulnerado dichas garantías en la grabación de las conversaciones que tuvo lugar en los calabozos, en dependencias policiales. Alega igualmente la vulneración de sus derechos a la tutela judicial efectiva, a la presunción de inocencia y a un proceso con todas las garantías (art. 24 CE), ya que se le ha condenado en virtud de una prueba de indicios vertebrada a partir de la existencia de unas escuchas telefónicas que resultan inconstitucionales, y que no se han ratificado en la vista oral ni se han acreditado por algún medio o estudio fonográfico, así como por las escuchas realizadas en los calabozos de los detenidos, sin las mínimas garantías exigibles para ser utilizadas como prueba, todo lo cual impide fundar en ellas su condena. Por medio de otrosí, y con invocación del art. 56 de la Ley Orgánica del Tribunal Constitucional (LOTC), solicitó la suspensión de la ejecución de la Sentencia impugnada, ya que el actor se encuentra en prisión y un eventual otorgamiento del amparo haría irrecuperable el tiempo pasado en la misma, sin que dicha suspensión produzca perturbación grave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providencias de 9 de junio de 2011 la Sala Segunda acordó admitir a trámite el recurso de amparo así como formar la oportuna pieza para la tramitación del incidente de suspensión y, conforme a lo dispuesto en el art. 56 LOTC, conceder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presentó escrito de alegaciones con fecha 17 de junio de 2011, en el que, con invocación de la doctrina de este Tribunal Constitucional, aduce que la ejecución de las resoluciones impugnadas le ocasionaría un perjuicio irreparable que haría perder al amparo su finalidad, por lo que reitera su petición de suspensión, señalando que ésta no produce perturbación grave para interés alguno constitucionalmente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el 30 de junio de 2011, interesa que se deniegue la suspensión solicitada. Tras referirse a la doctrina de este Tribunal y a los antecedentes del caso, con especial incidencia sobre la importante condena impuesta, señala que la gravedad y naturaleza de los hechos enjuiciados y los bienes jurídicos protegidos, su trascendencia social, la duración de las penas impuestas, el tiempo que resta de cumplimiento, así como el riesgo de eludir la acción de la justicia acreditan la grave reprobación que el ordenamiento asigna a los hechos delictivos por los que ha sido condenado el recurrente y, por consiguiente, la magnitud del interés en la ejecución de la condena.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w:t>
      </w:r>
    </w:p>
    <w:p w:rsidRPr="00C21FFE" w:rsidR="00AD51A7" w:rsidRDefault="008777C4">
      <w:pPr>
        <w:rPr/>
      </w:pPr>
      <w:r w:rsidRPr="&lt;w:rPr xmlns:w=&quot;http://schemas.openxmlformats.org/wordprocessingml/2006/main&quot;&gt;&lt;w:lang w:val=&quot;es-ES_tradnl&quot; /&gt;&lt;/w:rPr&gt;">
        <w:rPr/>
        <w:t xml:space="preserve">Más concretamente, este Tribunal, entre otros muchos, en los AATC 462/2007, de 17 de diciembre, 116/2008, de 28 de abril, y 25/2009, de 26 de enero,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FJ 3; 9/2003, FJ 2).</w:t>
      </w:r>
    </w:p>
    <w:p w:rsidRPr="00C21FFE" w:rsidR="00AD51A7" w:rsidRDefault="008777C4">
      <w:pPr>
        <w:rPr/>
      </w:pPr>
      <w:r w:rsidRPr="&lt;w:rPr xmlns:w=&quot;http://schemas.openxmlformats.org/wordprocessingml/2006/main&quot;&gt;&lt;w:lang w:val=&quot;es-ES_tradnl&quot; /&gt;&lt;/w:rPr&gt;">
        <w:rPr/>
        <w:t xml:space="preserve">Ahora bien, también hemos dicho que este criterio no es absoluto, pues, de acuerdo con la doctrina que, sobre el particular, hemos elaborado, ni en todos los casos de pérdida de libertad procede automáticamente la suspensión, ni, en sentido contrario, por la afectación del interés general que supone per se la suspensión de la ejecución de una Sentencia, y más en el caso de resoluciones penales, ha de dejarse de suspender ésta cuando la denegación de la suspensión suponga la pérdida de la finalidad del amparo que eventualmente acabara concediéndose. Se hace necesario conciliar ambos valores - ejecutoriedad de las resoluciones judiciales y derecho a la libertad personal-, y, para ello, deben examinarse las circunstancias concretas que se dan en cada supuesto, pues las mismas pueden inclinar la resolución en favor del interés general o del interés particular que, por definición, concurren siempre cuando de la suspensión del acto de un poder público se trata (ATC 318/1999). Por tanto, la decisión ha de ponderar también otras circunstancias relevantes,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 por todos AATC 469/2007, de 17 de diciembre, FJ 2;16/2008, de 21 de enero, FJ 1; y 172/2008, de 23 de junio, FJ 2), circunstancias todas ellas “que expresan la reprobación que el Ordenamiento asigna al hecho delictivo y, por consiguiente, la magnitud del interés general en su ejecución” (por todos, AATC 109/2008, de 14 de abril, FJ 2;53/2009,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A las anteriores consideraciones hay que añadir, asimismo, que este Tribunal tiene establecido, como regla general, el criterio de que no procede la suspensión en los casos en que la pena impuesta es de larga duración. En efecto, cuando la pena impuesta excede notoriamente del tiempo en que previsiblemente se tramitará el recurso de amparo el interés general reclama con intensidad la ejecución de la Sentencia, por lo que, en principio, no se accederá a su suspensión. Esta conclusión, no sólo es consecuencia del necesario mantenimiento de la confianza en la justicia penal y en los efectos disuasorios que se derivan de la finalidad de prevención general de los delitos, sino también porque nos encontramos ante supuestos en los que, atendida la duración de la condena, el amparo nunca perdería su finalidad de forma absoluta, por lo que el perjuicio que podría ocasionarse al recurrente en la hipótesis de estimarse sus pretensiones siempre sería parcial y limitado (AATC 269/1998, de 26 de noviembre, 80/2006, de 13 de marzo, 127/2010, de 4 de octubre, y 202/2010, de 21 de diciembre,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aplicación de la doctrina reseñada conduce a denegar la suspensión interesada, en atención a la gravedad de los hechos enjuiciados y a la duración de la condena de privación de libertad recaída, que asciende a veintidós años y seis meses de prisión por un delito de asesinato agravado, a cinco años de prisión por un delito de detención ilegal, a cinco años de prisión por un delito continuado de robo con violencia e intimidación en las personas, y a dos años y seis meses de prisión por un delito de tenencia ilícita de armas, condenas que han de ser objeto de cumplimiento sucesivo de conformidad con la regla establecida en el art. 75 del Código penal (AATC 279/2001, de 30 de octubre, FJ 2; 69/2002 de 22 de abril, FJ 3; y 127/2010, de 4 de octubre, FJ 1). No obstante, dada la afectación del derecho a la libertad personal (art. 17.1 CE) por las penas de prisión impuestas en virtud de las resoluciones judiciales impugnadas, este Tribunal dará carácter prioritario a la tramitación y resolución del presente recurso.</w:t>
      </w:r>
    </w:p>
    <w:p w:rsidRPr="00C21FFE" w:rsidR="00AD51A7" w:rsidRDefault="008777C4">
      <w:pPr>
        <w:rPr/>
      </w:pPr>
      <w:r w:rsidRPr="&lt;w:rPr xmlns:w=&quot;http://schemas.openxmlformats.org/wordprocessingml/2006/main&quot;&gt;&lt;w:lang w:val=&quot;es-ES_tradnl&quot; /&gt;&lt;/w:rPr&gt;">
        <w:rPr/>
        <w:t xml:space="preserve">Por lo demás, aunque en sus escritos el recurrente se refiere únicamente a los perjuicios que le ocasionaría la privación de libertad, sin realizar referencia expresa alguna al resto de pronunciamientos de las resoluciones impugnadas, es notorio que tampoco cabría la suspensión de éstos, en atención a su carácter accesorio (AATC 131/2001, de 22 de mayo, FJ 2; y 408/2005, de 21 de noviembre, FJ 2) -en lo que atañe a la inhabilitación absoluta y a la privación del ejercicio del derecho de sufragio pasivo- o meramente patrimonial y, por tanto, susceptible de reparación, en lo que se refiere al abono de las costas procesales y responsabilidades civiles que fija la Sentencia de la Audiencia Provincial de Zaragoza en su parte dispositiva (ATC 59/2008, de 20 de febrero, FJ 2, entre otros muchos).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