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octubre de 2011, la Procuradora de los Tribunales doña Valentina López Valero, en nombre y representación de la Coalición Anticapitalista por la provincia de Pontevedra, y bajo la dirección del Letrado don José Luis González del Moral, interpuso demanda de amparo electoral contra la Sentencia del Juzgado de lo Contencioso-Administrativo núm. 1 de Pontevedra de 28 de octubre de 2011, dictada en el proceso contencioso-electoral núm. 434-2011, por la que se desestima el recurso interpuesto contra el acuerdo de la Junta Electoral Provincial de Pontevedra de 24 de octubre de 2011 sobre no proclamación de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Coalición Anticapitalista por la provincia de Pontevedra, interpuso recurso contencioso-electoral ex art. 49 de la Ley Orgánica del régimen electoral general (LOREG) contra el acuerdo de la Junta Electoral Provincial de Pontevedra de 24 de octubre de 2011 (“Boletín Oficial del Estado” de 25 de octubre) por el que se deniega la proclamación de las candidaturas de dicha coalición al Congreso de los Diputados y el Senado por la circunscripción de Pontevedra en las elecciones generales convocadas por Real Decreto 1329/2011, de 26 de septiembre, al no haber cumplido esta coalición, que no obtuvo representación parlamentaria en las anteriores elecciones generales, el requisito establecido en el art. 169.3 LOREG (en la redacción dada por la Ley Orgánica 2/2011, de 28 de enero), de aportar las firmas de al menos el 0,1 por 100 de los electores inscritos en el censo electoral de dicha circunscripción.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argumentaba que el acuerdo de no proclamación impugnado trae causa de la aplicación del requisito establecido por el art. 169.3 LOREG, precepto que la coalición recurrente considera lesivo de los derechos reconocidos por el art. 23 CE y del pluralismo político (art. 1.1 CE) que expresan los partidos políticos (art. 6 CE), en relación con el derecho de asociación (art. 22 CE) y el mandato a los poderes públicos de remover los obstáculos que impidan la participación política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contencioso-electoral fue desestimado por Sentencia de 28 de octubre de 2011 del Juzgado de lo Contencioso-Administrativo núm. 1 de Pontevedra, en la que se razona que la coalición demandante pretende plantear un recurso indirecto de inconstitucionalidad contra el art. 169.3 LOREG, pretensión que resulta por completo ajena al objeto del recurso contencioso-electoral.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coalición recurrente aduce en su demanda de amparo, en primer lugar, que las resoluciones impugnadas han vulnerado su derecho de participación política y de acceso en condiciones de igualdad a las funciones y cargos públicos (art. 23.2 CE), en relación con el valor superior del pluralismo político (art. 1.1 CE) que los partidos políticos expresan (art. 6 CE), y con el derecho de asociación (art. 22 CE) y el mandato a los poderes públicos de remover los obstáculos que impidan la participación política (art. 9.2 CE). A esos efectos, la coalición recurrente argumenta, en síntesis, que el requisito de presentación de avales del art. 169.3 LOREG atenta contra la soberanía popular y destruye la esencia democrática y el pluralismo político, al establecer un control preventivo de la voluntad popular que impide que puedan concurrir a un proceso electoral opciones ideológicas minoritarias. Además, la norma introduce un distinto tratamiento a los partidos desproporcionado carente de justificación, ya que el referido requisito no se exige a los partidos con representación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la coalición recurrente argumenta que el requisito del art. 169.3 LOREG atenta contra el derecho a la intimidad (art. 18.1 CE) de los avalistas, pues para avalar una candidatura se han de facilitar a la Administración electoral datos personales (nombre y apellidos, documento nacional de identidad y circunscripción electoral en la que se esté censado), provocando soterradamente que quienes deciden apoyar la presentación de una candidatura tengan que renunciar a la protección de sus datos.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 la coalición recurrente por no haber aportado el porcentaje mínimo de avales exigido por el art. 169.3 de la Ley Orgánica del régimen electoral general (LOREG), en la redacción dada por la Ley Orgánica 2/2011, de 28 de enero, ha vulnerado el derecho de los integrantes de su candidatura a acceder en condiciones de igualdad a las funciones y cargos públicos (art. 23.2 CE) y el derecho a la intimidad (art. 18.1 CE) de los avalistas.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para una adecuada delimitación de este recurso de amparo debemos señalar que, al margen de que los arts. 1.1, 6 y 9.2 CE no enuncian derechos susceptibles de amparo constitucional, la pretendida lesión de dichos preceptos constitucionales puede ser reconducida, en los términos en que han sido alegados en la demanda de amparo, al parámetro de control dispensado por la invocación del derecho fundamental que garantiza el art. 23.2 CE. A la misma conclusión debe llegarse en relación con la invocación genérica de la pretendida lesión del derecho de asociación (art. 22 CE), dado que esta queja carece de contenido autónomo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Sentencia que confirma dicho acuerdo, lo que se cuestiona es si el requisito de aportación de avales impuesto por el art. 169.3 LOREG para la presentación de candidaturas por partidos políticos, federaciones o coaliciones que no hubieran obtenido representación parlamentaria en la anterior convocatoria electoral resulta lesivo o no del derecho de acceso a los cargos públicos en condiciones de igualdad y del derecho a la intimidad, lo que constituye el verdadero objeto de este recurso de amparo electoral, con las limitaciones propias que impone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precisa en la Sentencia que, con independencia de que la exigencia del art. 169.3 LOREG no esté expresamente prevista en la Constitución, su eventual contradicción con el art. 23.2 CE dependerá de que se hayan sobrepasado las limitaciones impuestas al legislador respecto de su carácter no discriminatorio o contrario al principio de representación política, lo que sólo puede concluirse de su contraste con el texto constitucional, sin que el hecho de que el legislador no haya explicado de manera suficiente las razones de su decisión legislativa convierta dicha exigencia en arbitraria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como requisito limitativo a la presentación de candidaturas, es si tiene o no un fundamento constitucional que la justifique. A esos efectos, se recuerda que la exigencia de avales no es inédita en los ordenamientos de países de nuestro entorno, ni tampoco en nuestro propio ordenamiento, que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elecciones al Congreso de los Diputados y al Senado en el mismo art. 169.3 LOREG un porcentaje de firmas del 1 por 100, exigencia que el Tribunal Europeo de Derechos Humanos, en su decisión de 9 de mayo de 1994, caso J.A. Serqueda c. España, no consideró contraria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lo expuesto, en la citada STC 163/2011, de 2 de noviembre, este Tribunal ha concluido que la necesidad de obtención de avales establecida en el art. 169.3 LOREG no vulnera el derecho de los integrantes de su candidatura al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añade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razonado asimismo en la referida Sentencia que la diferencia de trato que resulta de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este Tribunal ha descartado en la misma Sentencia que el requisito legal de aportación de avales en el porcentaje, al menos, del 0,1 por 100 de los electores inscritos en la circunscripción electoral por la que el partido pretenda su elección pueda ser considerado desproporcionado, puesto en relación tanto con la exigencia del 1 por 100 de avales exigidos a las agrupaciones electorales para presentar candidaturas en las elecciones al Congreso de los Diputados y al Senado (art. 169.3 LOREG) y en las elecciones municipales (art. 187.3 LOREG), como con la exigencia a los partidos políticos, coaliciones, federaciones y agrupaciones de electores de aportar 15.000 firmas para la presentación de candidaturas en las elecciones al Parlamento Europeo (art. 214 LOREG). Del mismo modo se descarta que concurra desproporción alguna en la exigencia de avales del art. 169.3 LOREG por lo que se refiere al plazo concedido por las juntas electorales, de conformidad con lo dispuesto en el apartado quinto de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mencionada Sentencia descarta que suponga lesión del art. 23.2 CE el hecho de que no se facilite a las formaciones políticas una información precisa por parte de las juntas electorales de las firmas que la oficina del censo electoral consideren inválidas por haber avalado también otras candidaturas. Así, se señala que el derecho de sufragio pasivo se ejerce en el marco de un procedimiento caracterizado por la celeridad, la perentoriedad y la preclusión de plazos, lo que hace incompatible obligar a la Administración electoral a acreditar los hechos que ponen de manifiesto la invalidez de las firmas apartadas, especialmente, teniendo en cuenta, por un lado, que la invalidez de los avales está acreditada por una certificación de la oficina del censo electoral, que reúne garantías suficientes para presumir válidas sus conclusiones, y, por otro, que con el fin de comprobar la existencia de los errores advertidos, y en su caso de subsanarlos, siempre queda expedita la posibilidad de acudir a la delegación de la oficina del censo electoral para hacer las comprobaciones pertinentes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pretendida lesión del derecho a la intimidad (art. 18.1 CE) de los avalistas de la candidatura, debemos señalar que en el fundamento jurídico 8 de la mencionada STC 163/2011, de 2 de noviembre, este Tribunal ha precisado que quien voluntariamente decide apoyar con su firma la presentación de una candidatura no está siendo obligado a declarar sobre su ideología (art. 16.2 CE). Del mismo modo, también se descarta en la Sentencia que los datos personales que se han de facilitar a la Administración electoral para avalar una candidatura (nombre y apellidos, documento nacional de identidad y circunscripción electoral en la que se esté censado) afecten a la intimidad de los avalistas o a su derecho a no declarar sobre su ideología.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esos efectos, se pone de manifiesto en la Sentencia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así se señala (fundamento jurídico 8) que en el caso de que los candidatos sean, a su vez, avalistas de su propia candidatura, la libre decisión de concurrir a unas elecciones por una determinada candidatura supone la voluntaria manifestación de la ideología política, por lo que el aval de los propios candidatos no revela ningún dato secreto ni merecedor de reserva. La publicidad de la ideología política de los candidatos es consustancial al proceso electoral y al ejercicio del derecho de participación política (art. 23.1 CE), que implica, en general, la renuncia a mantener ese aspecto de la vida personal alejada del público conocimiento, debiendo tenerse en cuenta en este sentido que la legislación electoral prescribe la publicación oficial de las candidaturas presentadas y proclamadas en las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electores que avalan con su firma la presentación de una candidatura sin formar parte de la misma, se advierte en la Sentencia (fundamento jurídico 8) que, si bien la situación de los avalistas no es la misma que la de los candidatos, toda vez que las firmas de los avalistas no son objeto de publicación en el procedimiento electoral, no es menos cierto que quien ejercita el derecho de participación política (art. 23.1 CE), del que también forma parte el avalar con la firma la presentación de una candidatura electoral en los términos del art. 169.3 LOREG, no puede aducir la lesión de su derecho a no declarar sobre la propia ideología (art. 16.2 CE), ni tampoco de su derecho fundamental a la intimidad personal y, en su caso, de la garantía frente al uso de la informática (arts. 18.1 y 4 CE), por el mero hecho de que la prestación del aval a una candidatura haga necesario facilitar a la Administración electoral los datos personales que permiten verificar que la firma corresponde al elector que afirma prestar su aval. Se trata, en suma, de datos de carácter personal prestados voluntariamente por el interesado para el cumplimiento de una finalidad constitucionalmente legítima en el marco del procedimiento electoral, por lo que su recogida y tratamiento a estos efectos por la Administración electoral en el ejercicio de las competencias que legalmente le están atribuidas, no supone en modo alguno vulneración de la intimidad de los avalistas ni del derecho de estos a no declarar sobre su ideología o creencias.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se impugna el acuerdo de la Junta Electoral Provincial de Pontevedra de no proclamar la candidatura de la coalición recurrente (y la Sentencia que confirmó su adecuación a Derecho), con fundamento en el incumplimiento de la exigencia de aportación de avales prevista en el art. 169.3 LOREG, y que dicho precepto no puede ser considerado lesivo de los arts. 18.1 y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