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30 de octubre de 2011, el Procurador de los Tribunales don José Andrés Peralta de la Torre interpuso recurso de amparo electoral, en nombre y representación del Hartos.org, contra la resolución de la Junta Electoral Provincial de Lleida, de 25 de octubre de 2011, confirmada por la Sentencia de 28 de octubre de 2011, dictada por el Juzgado de lo Contencioso-Administrativo núm.1 de Lleida en el recurso núm. 638-2011.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formación política Hartos.org interpuso recurso contencioso-electoral contra el acuerdo de la Junta Electoral Provincial de Lleida de 25 de octubre de 2011, por el que se denegaba la proclamación de sus candidaturas a las elecciones generales a celebrar el 20 de noviembre de 2011, al no haber cumplido dicho partido, que no obtuvo representación parlamentaria en los anteriores comicios, el requisito establecido en el art. 169.3 de la Ley Orgánica 5/1985, de 19 de junio, del régimen electoral general (LOREG) en la redacción dada por la Ley Orgánica 2/2011, de 28 de enero. El motivo de la denegación residió en que no presentó un número de avales suficiente.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contencioso-electoral se alegaba que tanto la modificación operada por la Ley Orgánica 2/2011, de 28 de enero, como la instrucción 7/2011, de 15 de septiembre, de la Junta Electoral Central, y la resolución posterior de dicha junta electoral, de 20 de octubre de 2011, no pueden aplicarse a este proceso electoral, pues lo contrario implicaría su vigencia retroactiva. Y, en segundo lugar, que el requisito de presentación de avales impuesto a las candidaturas que no hubiesen obtenido representación en anteriores elecciones resultaba contrario al art. 23 CE, invocándose asimismo los arts. 1, 6, 9.2, 14 y 16.2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 28 de octubre de 2011 del Juzgado de lo Contencioso-Administrativo núm. 1 de Lleida desestima el recurso contencioso-electoral. Razona que la convocatoria de las elecciones se produjo por Real Decreto 1329/2011, de 26 de septiembre, fecha netamente posterior a la modificación legislativa citada. Y añade seguidamente, sin mayores consideraciones, que no se puede entender que la introducción de un requisito consistente en la exigencia de avales a algunas candidaturas, a diferencia de lo que ocurre con las que tienen representación parlamentaria, sea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margen de otras consideraciones que realiza sobre las vicisitudes del proceso (críticas por incoherencia e ineficacia de la Junta Electoral Central, por la intervención del Instituto Nacional de Estadística y por lo privilegios que considera que benefician a los partidos parlamentarios), la demanda de amparo sitúa la vulneración de derechos fundamentales en distintos planos. A su juicio, el art. 169.3 de la Ley Orgánica 5/1985, de 19 de junio, del régimen electoral general (LOREG) en la redacción dada por la Ley Orgánica 2/2011, de 28 de enero, supone una quiebra del pluralismo político (art. 1.1 CE), obviándose que el art.6 CE no diferencia a aquellos partidos que obtienen representación en las Cortes Generales de los restantes. A partir de ello, denuncia la lesión del art. 23.2 CE, pues supone una traba en el derecho a participar en los asuntos públicos, directamente o por medio de representantes, ya que sólo se podrá optar a la elección de dichos representantes si superan el requisito previo de aportar las firmas requeridas. La obligatoria obtención de avales supone de facto la limitación de opciones políticas, ya que la recogida de avales de ciudadanos que circulan por espacios públicos en solo veinte días, afirma, limita de forma considerable el número de ciudadanos censados para poder avalar a un partido. Considera asimismo lesionado el art. 14 CE (del que se infiere que no puede existir un diferente trato en función de resultados electorales previos), y, añade, también el art. 16.2 CE (pues aquel precepto legal, como la instrucción 7/2011, de 15 de septiembre, de la Junta Electoral Central, permite a los ciudadanos manifestar el apoyo a una única candidatura, obligándoles a manifestar la propia ideología sin el amparo del anonimato que otorga el voto secreto en la jornada electoral; lo mismo que obliga a las formaciones políticas a ofrecer datos personales de los avalistas, vulnerando la confidencialidad de sus militantes, afiliados, simpatizantes o personas que han decidido apoyar la candidatura puntualmente).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 expuesto, interesa la anulación de la resolución judicial impugnada y el acuerdo de la Junta Electoral Provincial que la misma confirma, con la consiguiente proclamación de las candidaturas de Hartos.org, en la circunscripción de Lleida, así como la declaración de la nulidad de la nueva redacción dada al art. 193.2 LOREG (sic) y del Decreto de convocatoria de las elecciones generales del 20 de noviembre de 2011, exigiendo una nueva convocatoria electoral.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al no haberse adjuntado los avales exigidos por el art. 169.3 de la Ley Orgánica del régimen electoral general (LOREG), en la redacción dada por la Ley Orgánica 2/2011, de 28 de enero, ha vulnerado el derecho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pesar de la diversidad de preceptos constitucionales invocados, para una adecuada delimitación de este recurso de amparo se debe recordar que la invocación genérica del principio de igualdad (art. 14 CE) ha de entenderse subsumida, de acuerdo con reiterada doctrina constitucional, en el derecho de acceso a los cargos públicos (art. 23.2 CE), que es el que, en su caso, pudiera haber resultado directamente transgredido (por todas, STC 193/1989, de 16 de noviembre, FJ 3). A esa misma conclusión debe llegarse en relación con las invocaciones al valor superior del pluralismo político (art. 1.1 CE), que expresan los partidos políticos (art. 6 CE), toda vez que, al margen de no tratarse de derechos susceptibles de amparo constitucional, también pueden ser reconducidos en los términos en que han sido alegados en la demanda al parámetro de control dispensado por la invocación del derecho fundamental previsto en el art. 23.2 CE. Finalmente, la demanda de amparo invoca el art. 16.2 CE, que recibirá respuesta particularizada en el fundamento jurídico 4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del derecho al acceso a los cargos públicos, que es el real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destacarse, por otra parte, que aunque el recurso parece censurar asimismo la instrucción de la Junta Electoral Central 7/2011, de 15 de septiembre, y la resolución del Presidente de la Junta Electoral Central, de 20 de octubre de 2011, el objeto de este procedimiento constitucional no puede comprenderlas, ya que su impugnación no puede efectuarse a través del recurso de amparo electoral. Como señalamos en la STC 112/2007, de 10 de mayo, FJ 2, “[l]a ‘modalidad específica de recurso de amparo’ (SSTC 71/1986, de 31 de mayo, y 1/1988, de 13 de enero) que articuló la Ley Orgánica del régimen electoral general, se prevé, de modo expreso, como cauce de amparo frente a las resoluciones de las que conoció o que dictaron los Juzgados de lo Contencioso-Administrativo en recursos frente a la proclamación de candidaturas y candidatos (arts. 49.3 y 4 LOREG) o también, por vía de remisión explícita, frente a las resoluciones dictadas por la Sala del Tribunal Supremo regulada en el art. 61 de la Ley Orgánica del Poder Judicial (LOPJ) cuando de lo que se trata es de recurrir frente a la proclamación o exclusión de candidaturas presentadas por las agrupaciones de electores a que se refiere el art. 44.4 de la propia Ley Orgánica del régimen electoral general (es decir, conforme a este último precepto, aquéllas que vengan a continuar o suceder la actividad de un partido político declarado judicialmente ilegal y disuelto, o suspendido)”, por lo que, con independencia de otras consideraciones, es claro que, al no tener por objeto directo las referidas instrucción 7/2011, de 15 de septiembre, y resolución del Presidente de la Junta Electoral Central, de 20 de octubre de 2011, la proclamación de candidaturas, no pueden ser objeto de un recurso de amparo electoral. Y por esta razón no van a ser objeto de examen las alegaciones que se refieren a las infracciones constitucionales que se imputan a esta resolución, sin perjuicio de las conclusiones que la Junta Electoral Central pueda extraer de lo aquí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todavía con carácter previo, convendrá subrayar que a pesar de que el recurso realiza diversas consideraciones sobre lo que califica como falta de eficacia de la administración de la Junta Electoral Central (censurando el cambio de criterio que, a su juicio, habría operado la resolución del Presidente de 20 de octubre antes citada respecto de la instrucción 7/2011, de 15 de septiembre, en lo relativo a las “insuficiencia de avales”), lo cierto es que, más allá de lo señalado en el párrafo anterior, se advierte que el recurrente no formula queja alguna respecto de las posibilidades de subsanación con las que contó en el caso concreto, no pudiéndosele extender, en consecuencia, la doctrina sentada en la STC 162/2011,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margen de lo anterior, en el fundamento jurídico 8 de la mencionada STC 163/2011, de 2 denoviembre, y en relación con la eventual incidencia que tendría la exigencia de avales en el derecho a no ser obligados a declarar sobre la propia ideología (art. 16.2 CE), este Tribunal ha destacado que quien voluntariamente decide apoyar con su firma la presentación de una candidatura ni está siendo obligado a declarar sobre su ideología ni tampoco equivale a manifestar una inequívoca adhesión ideológica a la misma. Del mismo modo, también se descarta que los datos personales que han de facilitar a la Administración electoral para avalar una candidatura —nombre y apellidos, documento nacional de identidad y circunscripción electoral en la que se esté censado— afecten a la intimidad de los avalistas o a su derecho a no declarar sobre su ideología. A esos efectos, se pone de manifiesto que, conforme a reiterada doctrina constitucional, entre los aspectos básicos de la vida privada protegidos por la intimidad, a la ideología y creencias, no se encuentran los datos referentes a la participación en la vida política, por ser una actividad cuya propia naturaleza se desarrolla en la esfera pública, con excepción del derecho de sufragio activo, dado el carácter secreto del voto (por todas, STC 85/2003, de 8 de mayo, FJ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lo expuesto, teniendo en cuenta que en el presente recurso de amparo, tal como se ha expuesto más detalladamente en los antecedentes, el partido recurrente ha impugnado el acuerdo de la junta electoral de no proclamación de su candidatura —y la resolución judicial que confirmó su adecuación a derecho—, que se fundamentó en el incumplimiento de la exigencia de avales prevista en el art. 169.3 LOREG y que dicho precepto no puede ser considerado lesivo del art. 23.2 CE, procede inadmitir la presente demanda de amparo electoral por inexistencia de violación de un derecho fundamental tutelable en amparo que, de acuerdo con el art. 43.1 LOTC, es requisito para que este Tribunal pueda ejercer dicha tutela. En consecuencia, el presente recurso incurre en el supuesto de inadmisión previsto en el art. 50.1 a) en relación con el art. 43.1, ambos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