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octubre de 2011, el Procurador de los Tribunales don Luciano Bosch Nadal, en nombre y representación del Partido Andalucista y doña Pilar González Modino, y bajo la dirección del Letrado don Fernando Zamora Vega, interpuso demanda de amparo electoral contra la Sentencia del Juzgado de lo Contencioso-Administrativo núm. 33 de Madrid de 28 de octubre de 2011, dictada en el procedimiento contencioso-electoral núm. 2-2011, por la que se desestima el recurso interpuesto contra el acuerdo de la Junta Electoral Provincial de Madrid de 24 de octubre de 2011 sobre no proclamación de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recurrente, que no había obtenido ninguna representación parlamentaria en las anteriores elecciones generales celebradas en 2008, presentó su candidatura, en la que se incluía doña Pilar González Modino, para las elecciones generales convocadas por Real Decreto 1329/2011, de 26 de septiembre, en la circunscripción de Madrid, sin adjuntar las firmas de, al menos, el 0,1 por 100 de los electores inscritos en el censo electoral de dicha circunscripción, tal como exige el art. 169.3 de la Ley Orgánica del régimen electoral general (LOREG), en la redacción dada por la Ley Orgánica 2/2011, de 28 de enero. Por acuerdo de la Junta Electoral Provincial de Madrid de 24 de octubre de 2011 se decidió la no proclamación de la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demandantes interpusieron recurso contencioso-electoral ex art. 49 LOREG ante el Juzgado de lo Contencioso-Administrativo núm. 33 de Madrid, que fue tramitado con el núm. 2-2011, argumentando que la previsión del art. 169.3 LOREG vulnera el art. 23.2 CE, en relación con los arts. 14, 16.2, 6 y 9 CE, ya que supone una restricción al derecho de participación política que es arbitraria y desproporcionada, solicitando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Sentencia de 28 de octubre de 2011, argumentando que el art. 23.2 CE establece un derecho de configuración legal que puede ser desarrollado por el legislador y que en virtud de esa habilitación la exigencia de avales del art. 169.3 LOREG no puede ser considerada arbitraria ni desproporcionada, toda vez que el diferente trato con los partidos que han tenido representación parlamentaria se justifica porque ya han acreditado un mínimo apoyo del electorado y la exigencia del 0,1 por 100 no es un porcentaje excesivo o inalcanzable para su normal cumplimiento por las candidaturas. También se señala la existencia de una justificación legítima de la medida en la necesidad de simplificar el proceso electoral y coadyuvar al cumplimiento del objetivo del déficit.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en su demanda de amparo que las resoluciones impugnadas han vulnerado el principio de igualdad (art. 14 CE), en relación con el derecho de acceso a los cargos públicos en condiciones de igualdad (art. 23.2 CE), ya que la exigencia de avales del art. 169.3 LOREG imponen diferencias comparativas que resultan contrarias al principio de igualdad restringiendo de forma arbitraria a los partidos que no han obtenido representación parlamentaria en las anteriores elecciones generales su participación política. Igualmente, señalan que esta exigencia se hace con fundamento en una justificación de sospecha respecto de que estos partidos llevan a cabo actitudes de poca seriedad, pero sin clarificar a qué prácticas se están refiriendo. También afirman los recurrentes que esta falta de la debida justificación de la exigencia de avales resulta contraria a la doctrina constitucional sobre la necesidad de una motivación especialmente fundada para justificar este tipo de restricciones de derechos fundamentales. Del mismo modo, para argumentar la desproporcionalidad de la medida, destacan los recurrentes que si la pretensión de esta exigencia es evitar determinadas prácticas fraudulentas, como el uso del censo, existen otros instrumentos jurídicos. Por último, discrepan los recurrentes con la argumentación de la resolución judicial impugnada, afirmando que el ejercicio de un derecho fundamental no puede limitarse por razones económicas ni por una pretendida simplificación del proceso 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pesar de la diversidad de preceptos constitucionales invocados, para una adecuada delimitación de este recurso de amparo se debe recordar que la invocación genérica del principio de igualdad (art. 14 CE) ha de entenderse subsumida, de acuerdo con reiterada doctrina constitucional, en el derecho de acceso a los cargos públicos (art. 23.2 CE), que es el derecho que, en su caso, pudiera haber resultado directamente transgredido (por todas, STC 193/1989, de 16 de noviembre, FJ 3), sin que resulte posible analizar otros preceptos constitucionales que a pesar de ser invocados su eventual vulneración no aparece desarrollada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del derecho al acceso a los cargos públicos,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teniendo en cuenta que en el presente recurso de amparo, tal como se ha expuesto más detalladamente en los antecedentes, se impugna el acuerdo de la Junta Electoral Provincial de Madrid de no proclamar la candidatura del partido recurrente (y la Sentencia que confirmó su adecuación a Derecho), con fundamento en el incumplimiento de la exigencia de aportación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