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21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18 de marzo de 2010, don Joan Puigcercós i Boixassa, don Josep Lluis Carod Rovira y el partido político Esquerra Republicana de Catalunya, representado por el Procurador de los Tribunales don Emilio Martínez Benítez y asistidos por la Letrada doña Mélani Simón Martínez, interpusieron recurso de amparo contra la Sentencia dictada por la Sala Primera del Tribunal Supremo de 26 de enero de 2010, en proceso sobre protección del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mediante otrosí, solicitaron al amparo del art. 56.2 de la Ley Orgánica del Tribunal Constitucional (LOTC), la suspensión cautelar de la ejecución de la condena en costas que contenía la citada resolución y que se refería a las costas originadas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19 de mayo de 2010 la Sala Segunda de este Tribunal acordó admitir a trámite la demanda de amparo y ordenar que se formara la presente pieza separada de suspensión, concediendo a la demandante de amparo y al Ministerio Fiscal, conforme a lo dispuesto en el art. 56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mediante escrito presentado el 30 de mayo de 2011, manifestó que tras solicitar aclaración del fallo de la Sentencia impugnada, la petición de suspensión carecía ya de objeto, puesto que el Tribunal Supremo en aclaración —mediante Auto de 22 de marzo de 2011— declaró que no procedía la condena al pago de las costas originadas en primera instancia y que se debió a un error lo establecido originariamente en la Sentencia. En definitiva, solicitaba la parte recurrente que se dejara sin efecto la solicitud de la suspensión pedida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 la vista del escrito presentado por la parte recurrente, solicitó, mediante escrito de 7 de junio de 2011, el archivo de la presente pieza de suspensión por pérdida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56.2 de la Ley Orgánica del Tribunal Constitucional, la Sala que conozca de un recurso de amparo acordará la suspensión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a un interés constitucionalmente protegido” o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solicitada por la parte recurrente la suspensión cautelar del pronunciamiento sobre las costas que contenía la Sentencia impugnada, dicha petición —como la propia parte demandante ha puesto de manifiesto en su escrito de 25 de marzo de 2011— ha quedado sin objeto puesto que dicha condena de las costas ocasionadas en primera instancia era fruto de un error aclarado por el Tribunal Supremo mediante Auto de 22 de marzo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presente supuesto, toda vez que los propios solicitantes de amparo han comunicado su voluntad de dejar sin efecto la solicitud de suspensión cautelar de la resolución impugnada, y no existe oposición del Ministerio Fiscal, procede declarar que la pretensión cautelar ha quedado privada de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presente pieza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