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31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22 de mayo de 2009, el Procurador de los Tribunales don Javier Cuevas Ribas, en nombre y representación de don Juan María Igarataundi Peñagaricano, interpuso recurso de amparo contra la providencia de 3 de marzo de 2009, dictada por la Sección Primera de la Sala de lo Penal de la Audiencia Nacional, en la ejecutoria núm. 25-1988, dimanante del sumario núm. 25-1988 procedente del Juzgado Central de Instrucción núm. 1, por el que se aprueba la fecha de licenciamiento definitivo del recurrente, y contra el Auto de 1 de abril de 2009 de la misma Sala y Sección, que desestima el recurso de súplica interpuesto y confirma la providencia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de amparo fue condenado a diversas penas privativas de libertad cuya suma supera los treinta años de duración, si bien, de conformidad con el art. 70 del Código penal de 1973, una vez operada la oportuna refundición de condenas, éste es el límite máximo de cumplimiento efectivo.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3 de marzo de 2009, la Sección Primera de la Sala de lo Penal de la Audiencia Nacional dictó providencia aprobando el licenciamiento definitivo del penado para el día 6 de junio de 2017.</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c) Contra dicha providencia interpuso el demandante recurso de súplica, que fue desestimado por Auto de 1 de abril de 2009 que, del mismo modo que la providencia impugnada, se sustenta en el criterio iniciado por la Sala de lo Penal del Tribunal Supremo con la Sentencia 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los derechos a la igualdad (art. 14 CE), a la libertad (art. 17 CE), a la tutela judicial efectiva (art. 24 CE), así como los principios de seguridad jurídica e irretroactividad (art. 9.3 CE), el principio de legalidad (art. 25.1 CE) y al principio de que las penas privativas de libertad han de estar orientadas hacia la reeducación y reinserción social (art.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otrosí segundo, el recurrente solicitaba la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4. La Sala Segunda de este Tribunal, por providencia de 14 de abril de 2011, acordó admitir a trámite la demanda de amparo y, en aplicación de lo dispuesto en el art. 51 de la Ley Orgánica del Tribunal Constitucional (LOTC), dirigir sendas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igual fecha, se acordó formar la oportuna pieza para la tramitación del incidente de suspensión y, de conformidad con lo dispuesto en el art. 56.4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evacuó el citado trámite a través de un escrito presentado en el Registro General de este Tribunal el 3 de mayo de 2011, en el que reiteró su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presentado el 17 de mayo de 2011, pide que se deniegue la suspensión solicitada, en atención al criterio seguido por este Tribunal en el ATC 206/2010, de 30 de diciembre, que resolvió una petición dimanante de un recurso sustancialmente igual al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fecha 18 de enero de 2012, la Sala Segunda de este Tribunal, acordó la avocación al Pleno,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entre otros muchos, en los AATC 462/2007, de 17 de diciembre; 116/2008, de 28 de abril, y 25/2009, de 26 de enero,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y 9/2003, de 20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ya que en dichos supuestos deben también ponderarse otras circunstancias relevantes,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ha quedado expuesto, el recurrente en amparo impugna la providencia de la Sección Primera de la Sala de lo Penal de la Audiencia Nacional de 3 de marzo de 2009 así como el Auto de 1 de abril de 2009 desestimó el recurso de súplica presentado y confirmó la providencia. De modo que las resoluciones judiciales recurridas en amparo no son aquellas que impusieron las penas privativas de libertad sino las que aprobaron el licenciamiento definitivo del penado aplicando el criterio jurisprudencial acogido por la Sala de lo Penal del Tribunal Supremo a partir de su Sentencia 197/2006, de 28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lo que el recurrente pretende es que este Tribunal acuerde cautelarmente su inmediata puesta en libertad en tanto se resuelva el recurso de amparo y, en consecuencia, se pronuncie sobre si el recurrente habría cumplido ya su condena el día 9 de abril de 2009 (según sostiene el demandante) o si, en cambio, no la extingue hasta el día 6 de junio de 2017 (como es el criterio de las resoluciones impugnadas), pues lo contrario, añade el recurrente, le produciría un perjuicio irreparable, en el caso de otorgarse finalmente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dijimos en el ATC 214/2007, de 16 de abril, dictado en un caso similar, “ponderando los intereses en juego en los términos anteriormente expuestos, este Tribunal entiende que ha de prevalecer el interés general en mantener la eficacia de las resoluciones judiciales, a la vista de la gravedad de los hechos por los que el recurrente se encuentra cumpliendo condena y de las penas impuestas, como pone de relieve el Ministerio Fiscal, así como de la lejanía del tiempo de cumplimiento definitivo de la misma en la apreciación llevada a cabo por las resoluciones impugnadas, lo que determinaría que la pérdida de la finalidad del amparo, caso de otorgarse el mismo, sería sólo parcial y puede atemperarse otorgando al recurso una tramitación preferente” (FJ 3). A lo anterior se añade la circunstancia de que la puesta en libertad del recurrente supondría, al menos parcialmente, un otorgamiento anticipado del amparo que se solicita, lo que desnaturalizaría el carácter cautelar de la medida (por todos, AATC 132/1982, de 31 de marzo, FJ único; 292/2005, de 4 de julio, FJ 2; 3/2006, de 16 de enero, FJ 2; 3/2011, de 14 de febrero, FJ único; o 92/2011, de 20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conduce a la denegación de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don Juan María Igarataundi Peñagaricano en el recurso de amparo núm. 4793-2009.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