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30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19 de enero de 2010, el Procurador de los Tribunales don Javier Cuevas Rivas, en nombre y representación de don Joseba Iñaki Urdiain Ziriza, interpuso recurso de amparo contra la providencia de 3 de noviembre de 2009, dictada por la Sección Tercera de la Sala de lo Penal de la Audiencia Nacional, en la ejecutoria núm. 30-1996, dimanante del sumario núm. 1-1985 procedente del Juzgado Central de Instrucción núm. 5, por el que se aprueba la fecha de licenciamiento definitivo del recurrente, y contra el Auto de 1 de diciembre de 2009 de la misma Sala, que desestima el recurso de súplica interpuesto y confirma la providencia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de amparo fue condenado a diversas penas privativas de libertad cuya suma supera los treinta años de duración, si bien, de conformidad con el art. 70 del Código penal de 1973, una vez operada la oportuna refundición de condenas, éste es el límite máximo de cumplimiento efectivo.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3 de noviembre de 2009, la Sección Tercera de la Sala de lo Penal de la Audiencia Nacional dictó providencia aprobando el licenciamiento definitivo del penado para el día 4 de abril de 2019.</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c) Contra dicha providencia interpuso el demandante recurso de súplica, que fue desestimado por Auto de 1 de diciembre de 2009 que, del mismo modo que la providencia impugnada, se sustenta en el criterio iniciado por la Sala de lo Penal del Tribunal Supremo con la Sentencia 197/2006, de 28 de febrero, con arreglo al cual el beneficio de redención de penas por el trabajo consagrado en el art. 100 del Código penal de 1973 ha de aplicarse, no a ese máximo de cumplimiento de treinta años, sino a cada una de las penas impuestas en las diversas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vulnerado los derechos a la igualdad (art. 14. CE), a la libertad (art. 17.1 CE), a la tutela judicial efectiva (art. 24.1 CE), así como los principios de seguridad jurídica e irretroactividad (art. 9.3 CE), y al principio de que las penas privativas de libertad han de estar orientadas hacia la reeducación y reinserción social (art. 25.2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otrosí, el recurrente solicitaba la suspensión de la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providencia de 14 de abril de 2011, acordó admitir a trámite la demanda de amparo y, en aplicación de lo dispuesto en el art. 51 de la Ley Orgánica del Tribunal Constitucional (LOTC), dirigir sendas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igual fecha, se acordó formar la oportuna pieza para la tramitación del incidente de suspensión y, de conformidad con lo dispuesto en el art. 56.4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evacuó el citado trámite a través de un escrito presentado en el Registro General de este Tribunal el 4 de mayo de 2011, en el que reiteró su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presentado el 17 de mayo de 2011, pide que se deniegue la suspensión solicitada, en atención al criterio seguido por este Tribunal en el ATC 206/2010, de 30 de diciembre, que resolvió una petición dimanante de un recurso sustancialmente igual al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de fecha 1 de diciembre de 2011, el Procurador don Javier Cuevas Rivas, reiteró la petición de suspensión, en su día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entre otros muchos, en los AATC 462/2007, de 17 de diciembre; 116/2008, de 28 de abril, y 25/2009, de 26 de enero,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y 9/2003, de 20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ya que en dichos supuestos deben también ponderarse otras circunstancias relevantes,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ha quedado expuesto, el recurrente en amparo impugna la providencia de la Sección Tercera de la Sala de lo Penal de la Audiencia Nacional de 3 de noviembre de 2009 así como el Auto de 1 de diciembre de 2009 desestimó el recurso de súplica presentado y confirmó la providencia. De modo que las resoluciones judiciales recurridas en amparo no son aquellas que impusieron las penas privativas de libertad sino las que aprobaron el licenciamiento definitivo del penado aplicando el criterio jurisprudencial acogido por la Sala de lo Penal del Tribunal Supremo a partir de su Sentencia 197/2006, de 28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lo que el recurrente pretende es que este Tribunal acuerde cautelarmente su inmediata puesta en libertad en tanto se resuelva el recurso de amparo y, en consecuencia, se pronuncie sobre si el recurrente habría cumplido ya su condena el día 9 de octubre de 2009 (según sostiene el demandante) o si, en cambio, no la extingue hasta el día 4 de abril de 2019 (como es el criterio de las resoluciones impugnadas), pues lo contrario, añade el recurrente, le produciría un perjuicio irreparable, en el caso de otorgarse finalmente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dijimos en el ATC 214/2007, de 16 de abril, dictado en un caso similar, “ponderando los intereses en juego en los términos anteriormente expuestos, este Tribunal entiende que ha de prevalecer el interés general en mantener la eficacia de las resoluciones judiciales, a la vista de la gravedad de los hechos por los que el recurrente se encuentra cumpliendo condena y de las penas impuestas, como pone de relieve el Ministerio Fiscal, así como de la lejanía del tiempo de cumplimiento definitivo de la misma en la apreciación llevada a cabo por las resoluciones impugnadas, lo que determinaría que la pérdida de la finalidad del amparo, caso de otorgarse el mismo, sería sólo parcial y puede atemperarse otorgando al recurso una tramitación preferente” (FJ 3). A lo anterior se añade la circunstancia de que la puesta en libertad del recurrente supondría, al menos parcialmente, un otorgamiento anticipado del amparo que se solicita, lo que desnaturalizaría el carácter cautelar de la medida (por todos, AATC 132/1982, de 31 de marzo, FJ único; 292/2005, de 4 de julio, FJ 2; 3/2006, de 16 de enero, FJ 2; 3/2011, de 14 de febrero, FJ único; o 92/2011, de 20 de junio, FJ 3). Ello conduce a la denegación de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don Joseba Iñaki Urdiain Ziriza en el recurso de amparo núm. 438-2010.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