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31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19 de mayo de 2010, el Procurador de los Tribunales don Javier Cuevas Ribas, en nombre y representación de doña María Josefa Uzkudun Etxenagusia, interpuso recurso de amparo contra el Auto de 17 de agosto de 2009, dictada por la Sección Segunda de la Sala de lo Penal de la Audiencia Nacional, en la ejecutoria núm. 30-1996, dimanante del sumario núm. 1-1985 procedente del Juzgado Central de Instrucción núm. 5, por el que se aprueba la fecha de licenciamiento definitivo del recurrente, y Sentencia 195/2010, de 24 de febrero, de la Sala Segunda del Tribunal Supremo, que desestima el recurso de casación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de amparo fue condenado a diversas penas privativas de libertad cuya suma supera los treinta años de duración, si bien, de conformidad con el art. 70 del Código penal de 1973, una vez operada la oportuna refundición de condenas, éste es el límite máximo de cumplimiento efectivo.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17 de agosto de 2010, la Sección Segunda de la Sala de lo Penal de la Audiencia Nacional dictó Auto en el que se denegaba la fecha de licenciamiento prevista para el 27 de agosto de 2009, aprobaba el licenciamiento definitivo del penado para el día 5 de febrero de 2021.</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c) Contra dicho Auto interpuso el demandante recurso de casación, que fue desestimado por Sentencia del Tribunal Supremo de 24 de febrero de 2010 que, del mismo modo que la providencia impugnada, se sustenta en el criterio iniciado por la Sala de lo Penal del Tribunal Supremo con la Sentencia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a la defensa y a un proceso con todas las garantías (art. 24.2 CE), a la libertad (art. 17.1 CE), a la tutela judicial efectiva (art. 24.1 CE), a la legalidad penal (art. 25.2 CE) así como los principios de seguridad jurídica e irretroactividad (art. 9.3 CE), y al principio de que las penas privativas de libertad han de estar orientadas hacia la reeducación y reinserción social (art.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otrosí, el recurrente solicitaba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14 de abril de 2011, acordó admitir a trámite la demanda de amparo y, en aplicación de lo dispuesto en el art. 51 de la Ley Orgánica del Tribunal Constitucional (LOTC), dirigir sendas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igual fecha, se acordó formar la oportuna pieza para la tramitación del incidente de suspensión y, de conformidad con lo dispuesto en el art. 56.4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evacuó el citado trámite a través de un escrito presentado en el Registro General de este Tribunal el 4 de mayo de 2011, en el que reiteró su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presentado el 17 de mayo de 2011, pide que se deniegue la suspensión solicitada, en atención al criterio seguido por este Tribunal en el ATC 206/2010, de 30 de diciembre, que resolvió una petición dimanante de un recurso sustancialmente igual al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18 de enero de 2012, la Sala Segunda de este Tribunal, acordó avocar al Pleno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entre otros muchos, en los AATC 462/2007, de 17 de diciembre; 116/2008, de 28 de abril, y 25/2009, de 26 de enero,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y 9/2003, de 20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ya que en dichos supuestos deben también ponderarse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ha quedado expuesto, el recurrente en amparo impugna el Auto de 17 de agosto de 2009 de la Audiencia Nacional por el que se aprueba la fecha de licenciamiento definitivo del recurrente, y la Sentencia del Tribunal Supremo de 24 de febrero de 2010 que confirma el anterior, de modo que las resoluciones judiciales recurridas en amparo no son aquellas que impusieron las penas privativas de libertad sino las que aprobaron el licenciamiento definitivo del penado aplicando el criterio jurisprudencial acogido por la Sala de lo Penal del Tribunal Supremo a partir de su Sentencia 197/2006, de 28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lo que el recurrente pretende es que este Tribunal acuerde cautelarmente su inmediata puesta en libertad en tanto se resuelva el recurso de amparo y, en consecuencia, se pronuncie sobre si el recurrente habría cumplido ya su condena el día 27 de agosto de 2009 (según sostiene el demandante) o si, en cambio, no la extingue hasta el día 5 de febrero de 2021 (como es el criterio de las resoluciones impugnadas), pues lo contrario, añade el recurrente, le produciría un perjuicio irreparable, en el caso de otorgarse finalmente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dijimos en el ATC 214/2007, de 16 de abril, dictado en un caso similar, “ponderando los intereses en juego en los términos anteriormente expuestos, este Tribunal entiende que ha de prevalecer el interés general en mantener la eficacia de las resoluciones judiciales, a la vista de la gravedad de los hechos por los que el recurrente se encuentra cumpliendo condena y de las penas impuestas, como pone de relieve el Ministerio Fiscal, así como de la lejanía del tiempo de cumplimiento definitivo de la misma en la apreciación llevada a cabo por las resoluciones impugnadas, lo que determinaría que la pérdida de la finalidad del amparo, caso de otorgarse el mismo, sería sólo parcial y puede atemperarse otorgando al recurso una tramitación preferente” (FJ 3). A lo anterior se añade la circunstancia de que la puesta en libertad del recurrente supondría, al menos parcialmente, un otorgamiento anticipado del amparo que se solicita, lo que desnaturalizaría el carácter cautelar de la medida (por todos, AATC 132/1982, de 31 de marzo, FJ único; 292/2005, de 4 de julio, FJ 2; 3/2006, de 16 de enero, FJ 2; 3/2011, de 14 de febrero, FJ único; o 92/2011, de 20 de junio, FJ 3). Ello conduce a la denegación de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doña María Josefa Uzkudun Etxeganusia en el recurso de amparo núm. 4169-2010.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