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8 de febrero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C.T.A.E., S.L., interpuso recurso contencioso-administrativo, registrado con el número 360-2009, contra la resolución del Tribunal Económico-Administrativo regional de Madrid que declaró la extemporaneidad del recurso de reposición que había deducido contra el acuerdo que le había impuesto una sanción como responsable de una infracción tributaria. El recurso fue desestimado en Sentencia de 2 de junio de 2011 de la Sección Quinta de la Sala de lo Contencioso-Administrativo del Tribunal Superior de Justicia de Madrid. La Sentencia fue notificada el 8 de junio de 2011 con la advertencia de que no era susceptible de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13 de julio de 2011 don Carlos Giraldo López, como apoderado de C.T.A.E., S.L., se dirigió al Tribunal Constitucional para solicitar el nombramiento de Abogado y Procurador de oficio para presentar recurso de amparo contra la Sentencia. Pese a que la solicitud se hacía en nombre de la citada compañía mercantil, la misma fue registrada como recurso de amparo promovido por don Carlos Giraldo López, con el número 4108-2011 en la Sección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19 de julio de 2011 se requirió al señor Giraldo para que aportara determinados documentos. Dentro del plazo concedido el señor Giraldo presentó los documentos requeridos.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diligencia de ordenación de 8 de septiembre de 2011, “se tiene por recibido el precedente escrito y documentos de don Carlos Giraldo López y, de conformidad con lo establecido en el art. 7.3 de la Ley 1/96 de asistencia jurídica gratuita y el art. 4 del acuerdo del Pleno del Tribunal Constitucional de 18 de junio de 1996 (“BOE” 19 de julio de 1996), se libra despacho al Colegio de Abogados de Madrid para que se designe al citado recurrente Procurador y Letrado del turno de oficio que le represente y defienda ..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septiembre de 2011 se recibió oficio del Colegio de Procuradores comunicando la designación de la Procuradora doña Miriam López Ocampos “para representar a: D/Dª Carlos Giraldo López”, cuya defensa asumía el Abogado don Anastasio de Juan García, según comunicó el Colegio de Abogados en escrito recibido el 22 de septiembre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22 de septiembre de 2011 la Procuradora señora López Ocampos se personó en el recurso de amparo 4108-2011 “en nombre de don Carlos Giraldo López, cuya representación ... acredito mediante la designación ...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del mismo día 22 de septiembre de 2011 se tuvieron por hechas las designaciones y se concedió a la Procuradora señora López Ocampos en plazo de treinta días para presentar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14 de octubre de 2011 la Comisión central de asistencia jurídica gratuita comunicó que confirmaba las designaciones provisionales efectuadas por los colegios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11 de noviembre pasado se ha presentado la demanda suscrita por doña Miriam López Ocampos, “Procuradora de los Tribunales y de C.T.A.E., S.L., representada legalmente por don Carlos Giraldo López”.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resulta de los antecedentes, la procuradora doña Miriam López Ocampos ha sido nombrada para representar a don Carlos Giraldo López y en cuyo nombre y representación se personó en estas actuaciones. La circunstancia de que dicho señor sea apoderado de C.T.A.E., S.L., lo que está lejos de haber sido acreditado, no autoriza a la Procuradora para formular la demanda en nombre de dicha sociedad. Por otra parte, la asistencia jurídica gratuita se ha concedido al señor Giraldo. Como es sabido, el beneficio de asistencia jurídica gratuita se reconoce, como regla, sólo a las personas físicas; las fundaciones y las asociaciones declaradas de utilidad pública son las únicas personas jurídicas de Derecho privado que pueden tener asistencia jurídica gratuita (arts. 2 y 3 de la Ley 1/1996, de 10 de enero, de asistencia jurídica gratuita) y C.T.A.E., S.L., es una sociedad mercantil. En fin, no cabe entender que la demanda se formule en nombre de don Carlos Giraldo López, pues éste inició las presentes actuaciones mediante una solicitud formulada inequívocamente en nombre de C.T.A.E., S.L., que, por otro lado, parece que es la única legitimada para recurrir la Sentencia impugnada [art. 46.1 b) de la Ley Orgánica del Tribunal Constitucional: LOTC], dictada en un proceso en el que el señor Giraldo López no fue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antecedentes expuestos se deduce que en estas actuaciones se ha producido un error. Por una parte, es claro que en ningún caso debió promoverse desde este Tribunal que se nombraran Procurador y Abogado del turno de oficio al señor Giraldo López. Éste no había solicitado tal nombramiento para sí, sino para C.T.A.E., S.L., en cuyo nombre decía actuar. Por otra, y como consecuencia de dicho error, no se ha dado respuesta a la solicitud de tales nombramientos a favor de la entidad C.T.A.E.,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94 LOTC nos impone la subsanación de oficio, antes de que se haya pronunciado Sentencia, de los defectos que se hubieran producido en la tramitación de los procesos constitucionales. El patente error cometido en este caso sólo puede ser subsanado previa declaración de nulidad de todo lo actuado, desde la diligencia de ordenación de 19 de julio de 2011, inclusive.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Anulado lo actuado, procede la subsanación propiamente dicha de la omisión de todo pronunciamiento de este Tribunal sobre la solicitud de nombramiento de Abogado y Procurador para que C.T.A.E., S.L., interponga recurso de amparo contra la Sentencia a la que se ha hecho referencia. Tal pronunciamiento, que se efectúa en esta resolución por motivos de economía procesal, ha de ser forzosamente negativo, por lo que podemos hacerlo sin necesidad de requerir que el solicitante acredite que tiene los poderes de C.T.A.E., S.L., que dice tener. En efecto, como ya se ha anticipado, según el art. 2 de la Ley 1/1996, de 10 de enero, de asistencia jurídica gratuita, las únicas personas jurídicas de Derecho privado que pueden acceder a la asistencia jurídica gratuita son las asociaciones de utilidad pública y las fundaciones y la entidad para la que se piden dichas designaciones es una sociedad mercantil de responsabilidad limitada.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 la nulidad de todo lo actuado en el recurso de amparo núm. 4108-2011 desde la diligencia de ordenación de 19 de julio de 2011, inclusive.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Resolver que no ha lugar al nombramiento de Abogado y Procurador de oficio a favor de C.T.A.E., S.L., interesado por don Carlos Giraldo López, a quien se notificará este Auto.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