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2383-2010, promovido por don Joaquín Urain Larrañaga, representado por el Procurador de los Tribunales don José Javier Cuevas Rivas y asistido por la Letrado doña Ainhoa Baglietto, contra los Autos de 21 de enero y de 19 de febrero de 2010 de la Sala Segunda del Tribunal Supremo y contra el Auto de la Sección Segunda de la Sala de lo Penal de la Audiencia Nacional de 24 de agosto de 2009.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18 de marzo de 2010, don José Javier Cuevas Rivas, Procurador de los Tribunales, y de don Joaquín Urain Larrañaga,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Sección Segunda de Sala de lo Penal de la Audiencia Nacional, en diversos procesos a varias penas que suman más de cuatrocientos años, acordando el tribunal sentenciador mediante Auto de 16 de junio de 1997 la refundición de tales condenas. Su razonamiento jurídico único dice expresamente: “Los delitos cometidos por el penado Joaquín Urain Larrañaga presentan entre sí clara conexión jurídica y cronológica que hubiera permitido enjuiciarlos en un solo proceso, por lo que, de conformidad con lo preceptuado por el artículo 988 de la Ley de Enjuiciamiento Criminal, en relación con lo dispuesto en la regla 2ª del artículo 70 del Código Penal, es procedente refundir las condenas impuestas y expresadas, y fijar el máximo de la condena total a cumplir por el penado Joaquín Urain Larrañaga, en las indicadas causas, la de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21 de noviembre de 2008 tuvo entrada en la Sección Segunda de Sala de lo Penal de la Audiencia Nacional un oficio del centro penitenciario de La Moraleja, en Dueñas, en el que consultaba si era aplicable al recurrente la doctrina emanada de la STS 197/2006, de 28 de febrero, toda vez que de no aplicarse la fecha de licenciamiento sería el 29 de agosto de 2009 de acuerdo con las redenciones ordinarias consignadas en la hoja de cálculo que se adjuntaba. De aplicarse, por el contrario, la fecha sería el 10 de enero de 2016. Oficio que fue recordado por otro de 25 de mayo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una vez evacuado el traslado conferido a las partes, apoyando el Fiscal la aplicación de los criterios de la STS 197/2006 y oponiéndose a ello el recurrente, interesó del centro penitenciario mediante diligencia de ordenación de 17 de julio de 2009 nueva propuesta de licenciamiento con cálculo efectuado de conformidad con los criterios de dicha Sentencia, y fijó mediante Auto de 24 de agosto de 2009 y de conformidad con los referidos criterios la fecha de licenciamiento definitiva del recurrente para el 10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se interpuso recurso de casación, inadmitido por Auto de 21 de enero de 2010. Contra esa resolución se formuló incidente de nulidad de actuaciones, que fue también inadmitido en virtud de Providencia de 19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fundamenta su demanda de amparo en la vulneración de los derechos fundamentales a la legalidad (art. 25.1 y 2 CE), a la tutela judicial efectiva (art. 24.1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lugar, la vulneración del principio de legalidad (art. 25.1 y 2 CE), en relación con la interpretación de los arts. 70.2 y 100 del Código penal (CP) de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penitenciaria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denuncia la vulneración del derecho a la tutela judicial efectiva (art. 24.1 CE), en relación con el derecho a la libertad (art. 17 CE). Sostiene la demanda que la nueva interpretación del cómputo de las redenciones sobre la totalidad de la condena contradice el Auto de 16 de junio de 1997, toda vez que éste al refundir todas las penas en la resultante de treinta años suponía la desaparición de las que excedían de este límite de cumplimiento, y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 Muy especialmente en este caso, pues la misma Sección Segunda de Sala de lo Penal de la Audiencia Nacional, mediante providencia de 18 de noviembre de 2008, después por tanto de la STS 197/2006, acordó el licenciamiento definitivo de otro penado a más de treinta años —el señor Carrasco Alba— para el 26 de febrero de 2009, lo que supone la aplicación de las redenciones ordinarias al límite máximo de cumplimiento de treinta años que se habría cumplido el 19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En el caso del señor Urain ha cumplido un tiempo de estancia efectiva en prisión al que deberían sumarse las redenciones ordinarias y extraordinarias y licenciarlo cuando el cómputo de ambas llegue a 10.950 días, es decir al máximo de treinta años previsto en el art. 70.2 CP 1973. Sin embargo, las resoluciones recurridas retrasan la puesta en libertad del recurrente hasta el cumplimiento de los treinta años íntegros y, por tanto, violan el art. 17 CE y los arts. 5 y 15.1 Convenio europeo para la protección de los derechos humanos y de las libertades fundamentales, así como los arts. 9.1 y 5 y 15.1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los motivos de amparo, y mediante otrosí de la demanda, el recurrente solicita con apoyo en el art. 56.1 de la Ley Orgánica del Tribunal Constitucional (LOTC)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marzo de 2011, la Sala Segunda de este Tribunal acordó la admisión a trámite de la demanda así como, a tenor de lo establecido en el art. 51 LOTC, requerir atentamente a Sala Segunda del Tribunal Supremo, a fin de que remita testimonio de lo actuado en el recurso de casación 002-0011106-2009, y al Servicio de Ejecutorias de la Audiencia Nacional, para que remitiera testimonio de las actuaciones correspondientes a la ejecutoria 103-1989, interesándole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de este Tribunal acordó formar pieza separada para la tramitación del incidente sobre suspensión y, conforme determina el art. 56 LOTC, conceder un plazo común de tres días a la parte recurrente y al Ministerio Fiscal para que aleguen lo que estimen pertinente. Evacuado dicho trámite, la Sala Segunda, por Auto de 16 de mayo de 2011,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15 de julio de 2011 se acordó dar vista de las actuaciones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sosteniendo que por razones sistemáticas procede abordar los motivos de modo distinto al propuesto en la demanda de amparo. Es por ello que empieza por el examen del sexto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Ministerio Fiscal que los motivos primero, tercero y quinto tengan suficiente eficacia suasoria. De un lado, “no parece que en el caso de autos, y a los efectos de una posible vulneración del principio de legalidad (art. 25.1) la interpretación que las resoluciones judiciales ahora recurridas en amparo hacen del art. 70.2 CP 1973 en exégesis derivada de la STS (Pleno de la Sala Segunda del Tribunal Supremo)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(por todas, SSTC 151/2005, de 6 de junio y 283/2006, de 9 de octubre), sin que corresponda por ende al Tribunal Constitucional dilucidar, como acontece en el caso de autos, cuál de las posibles interpretaciones o criterios jurisprudenciales es el más adecuado a la norma en juego”. De otro, “no tiene fundamento alguno sostener que se ha vulnerado dicho principio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20 de febrero, y no el art. 78 CP 1995”. En fin, “se cita todo ello además en relación con el derecho fundamental a la libertad personal (art. 17 CE). Pero tal cita debe considerarse ínsita en la argumentación de denegación de la irretroactividad contra reo que hemos expuesto más arriba. Si no concurre tal defecto constitucional en la aplicación al reo de la doctrina derivada de la STS del Pleno de la Sala Segunda del Tribunal Supremo 197/2006, de 28 de febrero, tampoco puede deducirse que el no licenciamiento del Sr. Urain en la fecha prevista de no concurrir tal doctrina haya comprometido constitucionalmente su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denunciada vulneración del derecho a la igualdad en la aplicación de la Ley (art. 14 CE). En primer lugar, porque el órgano judicial que ha dictado una de las resoluciones impugnadas (la Audiencia Nacional) es distinto de aquel que sentó la doctrina supuestamente discriminatoria (el Tribunal Supremo). Y, en segundo lugar, porque en todo caso la Sentencia de la Sala Segunda del Tribunal Supremo a la que se atribuye el cambio de criterio, el cual ha sido asumido como ratio decidendi por todas la resoluciones impugnadas, había recogido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considera vulnerado el derecho a la intangibilidad de las resoluciones judiciales (art. 24.1 CE). Así, aun reconociendo que la STC 174/1989 pudiera avalar un criterio distinto, sostiene que “no parece que puedan ser calificadas como resoluciones judiciales de naturaleza intangible las liquidaciones de condena habida cuenta de la extremada fluidez de la vida de cumplimiento penitenciario cuando entre en juego, como sucede en el caso de autos, la institución de la redención de penas, en sí mismas consideradas”. Otra cosa acontece, sigue diciendo, “con la refundición de penas ex art. 70, regla 2, CP 1973 o en el vigente 76.1 CP. El Auto en que se fijara la refundición, si no es recurrido, o si siéndolo en cuanto a lo que acontezca en el resultado final del recurso, debe reputarse como firme y su consecuencia debe ser en principio la intangibilidad del mismo. La razón es obvia; se opera sobre una realidad, refundir condenas, y sobre una norma, en el caso de autos la regla 2 del art. 70 CP”. Y en relación a esta segunda cuestión argumenta que en lo que hace a este caso concreto “[a] priori no entendemos como de recibo que establecidos unos criterios de interpretación normativa para fijar la refundición de condena (Auto de 16 de junio de 1997) y establecidos ellos en resolución judicial, pudieran variarse en virtud de una posterior resolución, como son las resoluciones judiciales ahora recurridas en amparo, por vía de remisión a la STS 197/06, de 28 de febrero, que interpreta de otra manera las normas atinentes”. Según el Fiscal, “ello comporta la vulneración del derecho a la intangibilidad de las resoluciones judiciales ex art. 24.1 CE (por todas, STC 209/05, de 4 de julio), enumerado como tal en el cuarto de los motivos de amparo del presente recurso, y que además de alguna manera se desprende cuando se argumenta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su juicio, este “derecho fundamental tiene engarce con el principio de legalidad (art. 25.1 CE) en relación con la prohibición de retroactividad de las normas penales perjudiciales para el reo (art. 9.3 CE, por todas 223/1997 y STEDH Streletz, Kessler, y Krenz vs Alemania de 22 de marzo de 2001), ya que las garantías de legalidad y seguridad jurídica que exigen ambos preceptos constitucionales deben extenderse no sólo al enjuiciamiento de los hechos como tipicidad cierta, taxativa y previsible (por todas, SSTC 196/2002, y 111/2004), sino que lo es asimismo para con la ejecución de las penas, integrándose la irretroactividad de las normas, y su interpretación, desfavorables al reo en el complejo de legalidad del art. 25.1 CE (vid. STEDH Puhk v Estonia de 10 de febrero de 2004).”. En efecto, “en el hecho de autos las resoluciones judiciales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que supone de facto la creación ex novo de un nuevo marco paranormativo que ha causado una extensión de la fecha de licenciamiento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estas dos vulneraciones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“[l]a consecuencia de todo ello es la estimación del amparo por todas esas vulneraciones, derecho a la intangibilidad de las resoluciones judiciales (art. 24.1 CE), en relación con el principio de legalidad penal en relación con la irretroactividad de lo desfavorable para el reo (art. 25.1 en relación con el art. 9.3 CE) y 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8 de septiembre de 2011,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27 de septiembre de 2011 presentó sus alegaciones el Fiscal, interesando la estimación del amparo solicitado y la anulación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presentó en este Tribunal escrito de fecha 5 de diciembre de 2011 solicitando la suspensión de los efectos de la aplicación de la Sentencia del Tribunal Supremo 197/2006, de 28 de febrero, pues a su juicio está produciendo tal perjuicio al recurrente que hace perder al amparo su finalidad, alegando que el art. 56.4 LOTC le habilita para pedir esta suspensión a pesar que la misma ya fue solicitad previamente y denegada por Auto de 16 de mayo de 2011. La Sala, mediante providencia de 11 de enero de 2012, acordó que “no ha lugar a lo solicitado en el mismo, toda vez que la suspensión interesada se refiere a una resolución judicial (STS 197/06, de 28 de febrero) no recurrida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propuesta de la Sala Segunda, el Pleno, en su reunión de 17 de enero de 2011 y conforme al art. 10.1 n)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Sala de lo Penal de la Audiencia Nacional de 24 de agosto de 2009, que resuelve que, en aplicación de la doctrina sentada por el Tribunal Supremo en la STS 197/2006, de 28 de febrero, la fecha de licenciamiento definitivo del recurrente sería el 10 de enero de 2016. También se dirige contra el Auto de 21 de enero de 2010 de la Sala Segunda del Tribunal Supremo, que inadmitió el recurso de casación interpuesto frente aquél, y contra el Auto de 19 de febrero de 2010, que inadmitió el incidente de nulidad de actuaciones promovido frente a la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legalidad (art. 25.1 y 2 CE), a la tutela judicial efectiva (art. 24.1 CE), a la libertad (art. 17.1 CE) y a la igualdad en la aplicación de la ley (art. 14 CE), con la argumentación que queda ampliamente expuesta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24.1, 25.1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distintos motivos de amparo se denuncia —como ya anticipamos—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aplicado hasta ese momento, el recurrente habría extinguido ya su condena y debería haber obtenido la libertad el día 14 de junio 2006 (según se desprende de la propuesta de licenciamiento definitivo enviada inicialmente por el centro penitenciario al órgano judicial), en aplicación del nuevo criterio la pena no se extinguiría hasta el día 19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de ello se deriva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A la vista de lo cual, hemos de comenzar precisando cuáles son los derechos fundamentales en juego y cuál ha de ser nuestro parámetro de enjuiciamiento en esta materia. No obstante, con carácter previo, conviene aclarar que no es objeto del presente recurso de amparo la Sentencia 197/2006, de 28 de febrero, dictada por la Sala Segunda del Tribunal Supremo, sino que nuestro examen se ha de limitar a la consideración de la respuesta judicial que para el caso concreto se contiene en las resoluciones recurridas, en las que se acuerda la aplicación del criterio de cómputo de las redenciones establecido con carácter previo por la citada STS 197/1996.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—y en contra de lo sostenido por el Ministerio Fiscal—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(arts.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Dado que en el presente procedimiento no se impugna la Sentencia del Tribunal Supremo de 28 de febrero de 2006 no cabe entrar a examinar si ésta se ha apartado o no de sus precedentes vulnerando el art. 14 CE. Y por lo que respecta a las resoluciones impugnadas se limitan a aplicar la doctrina sentada en aquella Sentencia del Tribunal Supremo, máximo intérprete de la ley, justificando el cambio de criterio en el cómputo de las redenciones de penas por el trabajo, frente a otros supuestos resueltos con anterioridad, precisamente en la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muy distinta es que la misma Sección Segunda de la Sala de lo Penal de la Audiencia Nacional, en un tiempo posterior al cambio doctrinal operado en 2006, haya aplicado singularmente a un penado —señor Carrasco Alba— las redenciones ordinarias al límite máximo de cumplimiento de treinta años, debiendo destacar que el derecho a la igualdad no ampara la equiparación a quien ha obtenido un trato privilegiado. Además, consta (documento 11 de los acompañados con la demanda de amparo) escrito del Ministerio Fiscal de 6 de octubre de 2008, evacuando el traslado conferido al efecto, en que se puede leer que “procede aprobar el licenciamiento definitivo del penado José Antonio Carrasco Alba para el próximo día 26 de febrero de 2009 como propone el centro penitenciario de San Sebastián, al encontrarse el penado en libertad condicional desde el día 30 de agosto de 2001, por lo que no procede la aplicación de la sentencia del Tribunal Supremo 197/2006, de 28 de febrero”, lo que pone de manifiesto que no es un supuesto idéntico al del recurrente, de modo que no puede servir como término de comparación válido para formular un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el Auto de la Sección Segunda de la Sala de lo Penal de la Audiencia Nacional de 24 de agosto de 2009, confirmado por los autos del Tribunal Supremo que respectivamente inadmitieron el recurso de casación y el posterior incidente de nulidad de actuaciones, vulneró su derecho a la tutela judicial efectiva (art. 24.1 CE) y como consecuencia de ello su derecho a la libertad (art. 17.1 CE), lo que —según se argumenta en los motivos de amparo tercero y sexto, fundamentalmente— habría sucedido al aplicar un nuevo criterio de cómputo de la redención de penas por el trabajo que ignora la existencia de una legítima expectativa, fundada en la previa actuación de la administración penitenciaria y en resoluciones judiciales firmes e intangibles, de obtener el licenciamiento definitivo, y por tanto ser puesto en libertad, el día 28 de febrero de 2006. El Ministerio Fiscal también entiende concurrentes estas vulneraciones en los términos reseñados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Sección Segunda de Sala de lo Penal de la Audiencia Nacional, en diversos procesos a varias penas que suman más de cuatrocientos años, acordando el tribunal sentenciador mediante Auto de 16 de junio de 1997 la refundición de tales condenas. Su razonamiento jurídico único dice expresamente: “Los delitos cometidos por el penado Joaquín Urain Larrañaga presentan entre sí clara conexión jurídica y cronológica que hubiera permitido enjuiciarlos en un solo proceso, por lo que, de conformidad con lo preceptuado por el artículo 988 de la Ley de enjuiciamiento criminal, en relación con lo dispuesto en la regla 2ª del artículo 70 del Código penal, es procedente refundir las condenas impuestas y expresadas, y fijar el máximo de la condena total a cumplir por el penado Joaquín Urain Larrañaga, en las indicadas causas, la de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21 de noviembre de 2008 tuvo entrada en la Sección Segunda de Sala de lo Penal de la Audiencia Nacional un oficio del centro penitenciario de La Moraleja, en Dueñas, en el que consultaba si era aplicable al recurrente la doctrina emanada de la STS 197/2006, de 28 de febrero, toda vez que de no aplicarse la fecha de licenciamiento sería el 29 de agosto de 2009 de acuerdo con las redenciones ordinarias consignadas en la hoja de cálculo que se adjuntaba.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una vez evacuado el traslado conferido a las partes, interesó del centro penitenciario mediante diligencia de ordenación de 17 de julio de 2009 nueva propuesta de licenciamiento con cálculo efectuado de conformidad con los criterios de dicha sentencia, y fijó mediante Auto de 24 de agosto de 2009 y de conformidad con los referidos criterios la fecha de licenciamiento definitiva del recurrente para el 10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redenciones que recoge la hoja de cálculo adjunta a la propuesta de licenciamiento enviado por el centro penitenciario,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El Auto que fijó la fecha de licenciamiento definitivo de conformidad con la doctrina sentada por el Tribunal Supremo en la STS 197/2006, de 28 de febrero no dejó sin efecto dichas redenciones sino que, en ejercicio de las competencias que legalmente tiene atribuidas, las computó sucesivamente sobre las varias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acumulación de condenas y fijación del límite máximo de cumplimiento treinta años de privación de libertad, que cita el Ministerio Fiscal como resolución intangible que ha sido ilegítimamente desconocida, se limita a hacer efectiva la previsión legal (arts. 988 de la Ley de enjuiciamiento criminal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o del principio de legalidad (art. 25.1 CE) en relación con la prohibición de retroactividad de las normas penales perjudiciales para el reo (art. 9.3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Joaquín Urain Larrañaga.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2383-2010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decisión mayoritaria debo explicitar mi desacuerdo con los fundamentos y el fallo de la presente Sentencia, de la que he sido Ponente y es en esa condición en la que recojo en ella una opinión mayoritaria contraria a mi criterio. En cuanto a los motivos de mi desacuerdo me remito a la opinión discrepante que he dejado expresada en el recurso de amparo avocado núm. 7325-2006, donde razono mi convencimiento de que en este asunto se han vulnerado los derechos fundamentales reconocidos al recurrente por los arts. 17.1 y 25.1 CE, lo que debería haber llevado a este Tribunal a otorgar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el recurso de amparo núm. 2383-2010.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