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4795-2009, promovido por don Miguel Turrientes Ramírez, representado por el Procurador de los Tribunales don José Javier Cuevas Rivas y asistido por la Abogada doña Ainhoa Baglietto contra el Auto de la Sección Segunda de la Sala de lo Penal de la Audiencia Nacional, de 23 de marzo de 2009, dictado en la ejecutoria 8-1989 (correspondiente al sumario 16-1986 del Juzgado Central de Instrucción núm. 5), por el que se aprueba su licenciamiento definitivo, así como contra el Auto de 7 de abril siguiente por el que se desestimó el recurso de súplica deducido contra el primero. Ha intervenido el Ministerio Fiscal. Ha sido Ponente el Magistrado don Francisco Pérez de los Cobos y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Decanato de los Juzgados de Madrid el 19 de mayo de 2009 y que ingresó en el Registro General de este Tribunal el día 22 siguiente, el Procurador de los Tribunales don José Javier Cuevas Rivas, en representación de don Miguel Turrientes Ramírez, formuló demanda de amparo contra las resoluciones judiciales a las que se ha hecho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Turrientes Ramírez fue condenado por la Sección Segunda de la Sala de lo Penal de la Audiencia Nacional, mediante Sentencia de 30 de septiembre de 1988, por un delito de asesinato, a la pena de veintinueve años de reclusión mayor; por la Sección Tercera de dicho órgano judicial, mediante Sentencia de 18 de febrero de 1988, por delito de estragos, a la pena de siete años de prisión mayor; y por Sentencia de 11 de marzo de 1988, dictada por la misma Sección, por delito de pertenencia a banda armada, a la pena de siete años de prisión mayor y multa; por delito de depósito de armas de guerra, a la pena de seis años y un día de prisión mayor; y por un delito de tenencia de explosivos, a la pena de seis años y un día de prisión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27 de mayo de 1998, dictado por la Sección Segunda de la Sala de lo Penal de la Audiencia Nacional en la causa 16-1986 del Juzgado Central de Instrucción núm. 5, se acordó la refundición de diversas condenas que habían sido impuestas al demandante de amparo, señalándose el límite de treinta años en aplicación de la regla segunda del art. 70 del Código penal (CP)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ello se practicó liquidación de condena en la que, con abono de la prisión provisional sufrida, se fijó como fecha de cumplimiento el 19 de diciembre de 2010. Previo dictamen favorable del Ministerio Fiscal la liquidación fue aprobada por providencia de 18 de junio de 1998, dictada por la propia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 de diciembre de 2008, el centro penitenciario en el que el demandante de amparo se encontraba cumpliendo condena remitió oficio a la Audiencia Nacional consultando si era de aplicación la STS 197/2006 y proponiendo diversas opciones de liquidación de condena: una fijando el cumplimiento el día 10 de abril de 2009 por aplicación de los beneficios penitenciarios sobre una pena de treinta años resultante de la acumulación efectuada mediante Auto de 27 de mayo de 1998; una segunda en la que se establecía el día 30 de abril de 2034 como fecha de cumplimiento sobre la base de computar las redenciones aprobadas sobre el total de la suma de las condenas impuestas; y, finalmente, una tercera en la que, tomando en cuenta el límite de treinta años de cumplimiento, se fijaba como fecha de la extinción de la condena el día 19 de diciembre de 2016, esto es, el mismo que en la inicial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23 de marzo de 2009, el órgano judicial acordó aplicar los criterios sentados por la Sentencia del Pleno de la Sala Segunda del Tribunal Supremo 197/2006, de 28 de febrero, fijando la fecha de cumplimiento el día 19 de diciembre de 2016, decisión que fue confirmada por Auto de 7 de abril de 2009, desestimatorio del recurso de súplica deducido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El demandante de amparo aduce en primer término que las resoluciones impugnadas vulneraron su derecho a la tutela judicial efectiva y a un proceso con todas las garantías (art. 24.1 y 2 CE) en relación con los arts. 13 del Convenio europeo para la protección de los derechos humanos y de las libertades fundamentales (CEDH) y 14.5 del Pacto internacional de derechos civiles y políticos (PIDCP), pues la aplicación del criterio sentado por la STS 197/2006 en relación con el sistema de cómputo de las redenciones de penas en los supuestos de acumulación de condenas se realiza a un caso que, como el suyo, no guarda identidad con el resuelto en su momento por el Tribunal Supremo. El caso abordado en la indicada Sentencia del Tribunal Supremo fue un caso de impugnación de la refundición de condenas en el que se aborda el modo de computarse las redenciones, mientras que en el presente supuesto ya se había fijado el límite de cumplimiento en treinta años, de modo que sobre este límite debían aplicarse las redenciones. Así pues la Audiencia Nacional ha aplicado una Sentencia del Tribunal Supremo a un caso no aplicable y, dadas las restricciones que tiene el recurso de amparo, no ha podido someter el criterio aplicado a un órgano superior, viéndose privado así de la garantía de la doble instancia a que se refieren los preceptos aludidos.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segundo motivo de amparo, se aduce la vulneración del principio de legalidad (art. 25.1, en relación con el art. 9.1, y art. 25.2 CE), en relación con la interpretación de los arts. 70.2 y 100 CP 1973, así como de los arts. 66 del reglamento de prisiones de 1956 y del art. 202 del reglamento penitenciario actual. Se denuncia que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De ahí que el 10 de abril de 2009 se completasen 8.140 días de internamiento efectivo que, añadidos los 2.492 días de redención ordinaria y los 318 de extraordinaria, harían un total de 10.950 días efectivos, esto es, de los treinta años fijados como límite de cumplimiento conforme al Código penal de 1973.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tercer motivo de amparo, se denuncia la vulneración del derecho a la tutela judicial efectiva (art. 24.1 CE), en relación con el derecho a la libertad (art. 17.1 CE). Sostiene la demanda que la nueva interpretación del cómputo de las redenciones sobre la totalidad de la condena le genera indefensión e inseguridad jurídica, puesto que con las redenciones aprobadas por los Juzgados de Vigilancia Penitenciaria, intangibles y firmes, aplicadas —como se venía haciendo— al tope de treinta años, el recurrente habría cumplido ya su condena y podría obtener el licenciamiento definitivo. El trabajo y los estudios en la prisión se realizaron en la confianza de que las redenciones así obtenidas implicarían un acortamiento del tiempo de permanencia en prisión, habiéndose generado una expectativa de dicho acortamiento, sobre la base de la actuación de los órganos judiciales hasta el momento y de las propuestas de los centros penitenciarios, pues todas las liquidaciones de condena se habían realizado conforme a la doctrina anterior y el interno siguió trabajando en la confianza de que se le aplicarían las redenciones, como en el caso de la STC 76/2004. La defraudación de esa expectativa con la nueva doctrina aplicada vulnera el derecho a la tutela judicial efectiva, en relación con el derecho a la libertad, que implica un deber reforzado de motivación. Citando la STC 174/1989, se afirma que se lesiona el art. 24.1 CE, en su vertiente de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en el motivo cuarto de la demanda de amparo que en el concreto caso del demandante no existía sólo una expectativa de reducción de la condena sino una resolución firme por la que se acumulaban todas las condenas en una única de treinta años a la que deberían aplicarse las redenciones, criterio modificado por las resoluciones impugnadas y en otras del propio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quinto motivo de amparo se considera vulnerado el principio de legalidad (art. 25.1 y 9.3 CE), por aplicación retroactiva de ley desfavorable. Con esta nueva interpretación de facto se está aplicando retroactivamente el art. 78 CP 1995 (que establece que los beneficios penitenciarios y la libertad condicional se apliquen a la totalidad de las penas impuestas en las Sentencias), a un penado bajo el Código penal de 1973.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lo que hace evidente que el Código penal de 1973 no contempla la aplicación de las redenciones a la totalidad de las condenas, una previsión que sí realiza el art. 78 CP 1995 y que es desfavorable. También se destaca que las modificaciones legales en esta materia se realizaron, como se pone de relieve en las exposiciones de motivos,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sexto motivo del recurso,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 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quiénes son los sujetos pasivos a los que afecta y por las circunstancias en que se adopta la decisión y, por tanto, un cambio de criterio ad personam constitucionalmente vedado.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señala que en la misma ejecutoria penal se concedió la libertad condicional al penado don José Antonio Carrasco operando sobre una pena de treinta años producto de la acumulación de otras impuestas al penado. El 14 de octubre de 2008 (esto es, con posterioridad a haberse dictado la STS 197/2006), la misma Sección Segunda de la Audiencia Nacional aprobó el licenciamiento definitivo del indicado penado aplicando los beneficios penitenciarios sobre la pena de treinta años de conformidad con el art. 70.2 CP 1973. Es decir, en aplicación del anterior criterio cuya aplicación se niega al recurrente, todo lo cual supone la aplicación de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séptimo motivo de amparo se alega la vulneración del derecho a la libertad (art. 17.1 CE). Tras poner de relieve que, conforme a la jurisprudencia de este Tribunal, la redención de penas por el trabajo afecta al derecho a la libertad (SSTC 31/1999, 76/2004), se denuncia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una suerte de tiempo virtual, como señala la STS de 5 de abril de 2001. En el presente supuesto el demandante había cumplido los treinta años de condena el 10 de abril de 2009 conforme a la primera de las liquidaciones elaboradas por el centro penitenciario con arreglo al sistema tradicional de cómputo, razón por la cual los autos impugnados, en cuanto atienden al sistema introducido mediante la STS 197/2006, violan los arts. 17 CE, 7.1 CEDH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obtenida por el demandante,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mayo de 2011 la Sala Segunda del Tribunal Constitucional acordó conocer del presente recurso de amparo y admitir a trámite la demanda presentada por el Procurador don Javier Cuevas Rivas, en nombre y representación de don Miguel Turrientes Ramírez, contra el Auto 7 de abril de 2009, dictado por la Sección Segunda de la Sala de lo Penal de la Audiencia Nacional. Asimismo se acordó dirigir comunicación al indicado órgano judicial para que en el plazo de diez días remitieran certificación o fotocopia adverada de las actuaciones correspondientes a la ejecutoria núm. 8-1989, con emplazamiento de quienes hubieran sido parte en el procedimiento, excepción hecha del recurrente en amparo, para que en el plazo de diez días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septiembre de 2011, la Sala Segunda de este Tribunal acordó, de conformidad con lo dispuesto por el art. 52.1 de la Ley Orgánica del Tribunal Constitucional, dar vista de las actuaciones a las partes personadas y al Ministerio Fiscal por plazo común de veinte días para formular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30 de septiembre del 2011, el demandante formuló alegaciones abundando en la argumentación vertida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alegaciones mediante escrito presentado el día 11 de octubre de 2011. Tras recordar el iter procesal que condujo al dictado de las resoluciones judiciales frente a las que se demanda amparo analiza cada una de las vulneraciones de derechos fundamentales aducidas en la demanda. Considera en primer término que ha de rechazarse la alegada vulneración del derecho al carácter rehabilitador de la pena a que se refiere el art. 25.2 CE, pues es doctrina constitucional constante que el indicado precepto no contiene un derecho fundamental del ciudadano susceptible de invocación en amparo, sino tan sólo un mandato dirigido al legislador para orientar su política penal. Y además el demandante cuestiona la interpretación de los preceptos legales y reglamentarios aplicados por el órgano judicial, de suerte que la alegación se subsume en la referida a la vulneración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rechaza también que se vulnerase el principio de legalidad penal conectado con la irretroactividad de las normas penales, pues el órgano judicial no ha aplicado retroactivamente las normas contenidas en el art. 76 CP 1995, sino que ha efectuado una interpretación del art. 70.2 CP 1973 con la se podrá estar de acuerdo o no, pero el precepto aplicado ha sido siempre el últimamente citado. Por lo demás la interpretación del precepto legal aplicado, en exégesis derivada de la STS 197/2006, de 28 de febrero, no es ni ajena al tenor literal de la norma, ni se basa en una argumentación ilógica, extravagante o ajena a los criterios que informan nuestro Ordenamiento, ni, finalmente conduce a resultados opuestos a su orientación material, tal como exige la doctrina constitucional para apreciar vulneración del principio de legalidad penal. A lo que añade que la desestimación de la queja relativa al principio de legalidad penal conlleva la que denuncia vulneración del derecho a la libertad personal en la medida en que en el razonamiento de la demanda se anudan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 quiebra de la igualdad en la aplicación de la ley el Ministerio Fiscal, admitiendo que las resoluciones judiciales con las que se efectúa la comparación proceden del mismo órgano judicial (incluso de la misma ejecutoria penal) y que en ambos casos se produjo la refundición de condenas, advierte que en el caso comparado se trataba de un condenado que se encontraba ya en libertad condicional, razón por la cual el órgano judicial entendió que no le era de aplicación la doctrina sentada por la STS 197/2006. De ahí que en opinión del Ministerio Fiscal las situaciones resueltas no son equiparables y que ello deba conducir a rechazar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merecen ser acogidas, según el Fiscal, las denuncias de vulneración del derecho a la libertad personal (art. 17 CE) en cuanto aparecen necesaria e indisolublemente unidas a las vulneraciones de derechos que previamente descarta el propio Fiscal. Y la misma suerte propugna para la aducida vulneración del derecho a la defensa —art. 24.1 CE— y a un proceso con todas las garantías —art. 24.2 CE—, en relación con los arts. 13 CEDH y 14.5 PIDCP, pues las resoluciones judiciales impugnadas contienen una motivación precisa por medio de la recepción de la doctrina sentada al respecto por el Tribunal Supremo, doctrina de la que es legítimo discrepar pero que no puede significar, como pretende el recurrente, que haya existido vulneración del derecho a la defensa o al recurso como se alega en el correspondiente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considera que sí ha de estimarse el amparo por vulneración del derecho a la tutela judicial efectiva —art. 24.1 CE— en la vertiente que atiende a la intangibilidad de las resoluciones judiciales firmes. Entiende el Fiscal que el Auto de 27 de mayo de 1998, por el que se refundieron las condenas impuestas al demandante, fijó el criterio para la ejecución de la condena operando una interpretación concreta de la normativa en juego, y muy particularmente de la refundición de condenas, que se ha visto modificado por las resoluciones frente a las que se demanda amparo en atención a una nueva interpretación emanada de una decisión de la Sala Segunda del Tribunal Supremo. Ello comporta la vulneración del derecho a la intangibilidad de las resoluciones judiciales ex art. 24.1 CE (por todas, STC 209/2005, de 4 de julio). Afirma que en el caso de autos las resoluciones judiciales “no se han limitado a variar la fecha de licenciamiento de conformidad con los extremos anejos al devenir del cumplimiento de la pena impuesta (por ejemplo con datos relativos a la redención de penas por el trabajo) sino que han alterado éstos de manera contraria y desfavorable al reo, aportando una revisión interpretativa desfavorable, que supone de facto la creación ex novo de un nuevo marco paranormativo que ha causado una extensión de la fecha de licenciamiento del interno, y una revisión en la aplicación de los beneficios de la redención de penas. A esas dos vulneraciones debe conectarse y adicionarse la consecuencia inexcusable de ellas, la vulneración del derecho a la libertad (art. 17.1 CE), por cuanto en vez de obtener en la fecha prevista el licenciamiento definitivo lo sería en fecha muy posterior como consecuencia de esa nueva y desfavorable interpretación de la normativa en juego que las resoluciones judiciales efectuaron en contra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con lo anterior el Ministerio Fiscal interesa la estimación del amparo por vulneración del derecho a la intangibilidad de las resoluciones judiciales (art. 24.1 CE), en relación con el principio de legalidad penal en relación con la irretroactividad de lo desfavorable para el reo (art. 25.1 en conexión con el art. 9.3 CE) y del derecho a la libertad personal (art. 17. 1 CE). “La liquidación de condena y la fecha de licenciamiento definitivo del reo debe quedar fijada de conformidad con el canon interpretativo que en su momento fijara el Auto de 17 de julio de 2000 y conforme con los criterios del art. 70.2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enero de 2012, a propuesta de la Sala Segunda, el Pleno del Tribunal acordó recabar para sí el conocimiento del presente recurso de amparo de conformidad con lo dispuesto en el art. 10.1 n)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26 de marzo de 2012 se señaló, para deliberación y votación de la presente Sentencia, el 29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frente al que se demanda amparo es el Auto de 23 de marzo de 2009, por el que la Sección Segunda de la Sala de lo Penal de la Audiencia Nacional fijó la fecha del licenciamiento definitivo del demandante, interno en centro penitenciario en calidad de penado, así como el Auto de 7 de abril de 2009 que desestimó el recurso de súplica deducido contra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(art. 25.1 y .2 CE), a la libertad personal (art. 17.1 CE) y a la igualdad en la aplicación de la ley (art. 14 CE), con la argumentación que se expuso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los Autos frente a los que se demanda amparo lesionaron el derecho del demandante a la ejecución de las resoluciones judiciales en sus propios términos (art. 24.1 CE), en relación con el principio de legalidad y el derecho a la libertad personal (arts. 25.1 y 17.1 CE). Consecuentemente, interesa el otorgamiento del amparo solicitado y la anulación de las resoluciones recurridas para que se dicte otra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recordábamos en la reciente STC 89/2011, de 6 de junio, FJ 2,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de la Ley Orgánica del Tribunal Constitucional (LOTC) (por todas, STC 69/2004, de 19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Este requerimiento viene expresamente dispuesto por el art. 44.1 a) LOTC al exigir “que se hayan agotado todos los medios de impugnación previstos por las normas procesales para el caso concreto dentro de la vía judicial”. Tal como recordábamos en la STC 174/2011, de 7 de noviembre, FJ 2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(STC 8/1993, FJ 2), pues son ellos quienes tienen encomendada en nuestro sistema constitucional la tutela general de los derechos y libertades (STC 61/1983, FJ 2)’ [SSTC 85/1999, de 10 de mayo, FJ 5; y 71/2000, de 13 de marzo, FJ 3]. En definitiva,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(art. 1 LOTC; SSTC 211/1999, de 29 de noviembre, FJ 2; 128/2002, de 3 de junio, FJ 2; y 214/2002,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el demandante de amparo impugna el Auto de 23 de marzo de 2009 por el que se aprueba su licenciamiento definitivo para el día 19 de diciembre de 2016, Auto confirmado en súplica mediante el de 7 de abril siguiente, igualmente impugnado en amparo. Ahora bien, acude directamente ante este Tribunal sin hacer uso del recurso de casación ante 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del Código penal de 1973— cabrá interponer recurso de casación por infracción de ley. Tal previsión resulta aplicable a los Autos que aprueban el licenciamiento definitivo en cuanto lo en ellos resuelto incide en el límite concreto de pena privativa de libertad que ha de cumplir el penado. En tal sentido, aun cuando la jurisprudencia del Tribunal Supremo no siempre fue unánime en cuanto a la recurribilidad en casación de los Autos de liquidación de condena, tal incertidumbre fue definitivamente despejada al menos un año antes de dictarse las resoluciones impugnadas mediante el Auto del Tribunal Supremo de 7 de abril de 2008, dictado precisamente resolviendo un recurso de queja contra la denegación de la preparación de un recurso de casación contra el Auto desestimatorio del recurso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acumulada, abona la recurribilidad en casación de los Autos de licenciamiento definitivo en cuanto concretan y fijan definitivamente el máximo de cumplimiento respecto de las penas que se acumulan.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previsiones no era ajena la representación procesal y la defensa letrada del demandante de amparo, pues ya en diciembre de 2008 recurrieron en casación el Auto desestimatorio del recurso de súplica interpuesto contra la aprobación del licenciamiento definitivo de otro de los condenados en la misma ejecutoria 8-1989, en concreto respecto de don Ignacio Orotegui Ochandorena, siendo tal recurso inadmitido tras una extensa y completa motivación por carecer manifiestamente de fundamento la totalidad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que antecede resulta procedente dictar Sentencia inadmitiendo el recurso de amparo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formulado por don Miguel Turrientes Ramírez contra el Auto de la Sección Segunda de la Sala de lo Penal de la Audiencia Nacional, de 23 de marzo de 2009, dictado en la ejecutoria 8-1989 (correspondiente al sumario 16-1986 del Juzgado Central de Instrucción núm. 5), por el que se aprueba su licenciamiento definitivo, así como contra el Auto de 7 de abril siguiente por el que se desestimó el recurso de súplica deducido contra el primero.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