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12 de marzo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28 de junio de 2011, la Procuradora de los Tribunales doña Sara Carrasco Machado, en nombre y representación de don Eduardo González Nájera, interpuso recurso de amparo contra las resoluciones que figuran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otrosí, el recurrente solicitaba, al amparo de lo dispuesto en el art. 56 de la Ley Orgánica del Tribunal Constitucional (LOTC), la suspensión de la ejecución de la Sentencia objeto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son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Sentencia del Juzgado de lo Penal núm. 2 de Logroño de 2 de noviembre de 2010 condenó al demandante de amparo, como autor de seis delitos de abusos sexuales, a dos años de prisión por cada uno de ellos, inhabilitación especial para el ejercicio de sufragio pasivo durante el tiempo de la condena, inhabilitación para el ejercicio de su profesión de profesor por tiempo de seis años, prohibición de acercarse a menos de 200 metros de las víctimas, sus domicilios, colegios y lugares que frecuenten, así como de comunicar con ellas, por tiempo de cinco años, y al pago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dicha Sentencia interpuso el demandante recurso de apelación, que fue desestimado por Sentencia de la Audiencia Provincial de La Rioja (Sección Primera) de 2 de mayo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 este Tribunal, por providencia de 16 de febrero de 2012, acordó admitir a trámite la demanda de amparo y, en aplicación de lo dispuesto en el art. 51 LOTC, dirigir sendas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igual fecha, se acordó formar la oportuna pieza para la tramitación del incidente de suspensión y, de conformidad con lo dispuesto en el art. 56.4 LOTC, otorgar un plazo común de tres días al demandante de amparo y al Ministerio Fiscal para que formulasen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de alegaciones presentado el 27 de febrero de 2011, solicita que se deniegue la suspensión solicitada. Respecto de la pena privativa de libertad, argumenta que, pese a que por aplicación del art. 76 del Código penal la pena a cumplir será la de seis años de prisión, teniendo en cuenta la entidad de la misma, los bienes jurídicos protegidos y que, por su duración, una eventual pérdida de la finalidad del amparo sólo sería parcial, debe denegarse la suspensión. En segundo lugar, la pena de inhabilitación para el ejercicio de su profesión, y la del pago de las cotas procesales, admite su restitución íntegra, por lo que no debe ser suspendida. Y tampoco debe serlo la pena de prohibición de aproximación y comunicación con las víctimas, en aras a la protección de éstas.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demandante de amparo evacuó el citado trámite a través de un escrito presentado en el Registro General de este Tribunal el 28 de febrero de 2012, en el que reiteró su solicitud de suspensión, argumentando que la pena de prisión a cumplir sería de seis años y que la ejecución de la misma puede ocasionarle perjuicios irreparables y frustrar la finalidad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1/2010, de 11 de enero, y 18/2011, de 28 de febrero,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12/2009, de 26 de enero; 112/2011, de 18 de julio). 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entre otros muchos, en los AATC 462/2007, de 17 de diciembre; 116/2008, de 28 de abril, y 18/2011, de 28 de febrero,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y 9/2003, de 20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este criterio no es absoluto, ni determina la suspensión automática de tales resoluciones, pues el art. 56 LOTC responde a la necesidad de mantener un equilibrio entre los intereses del recurrente, los generales de la sociedad y los derechos de terceros (AATC 369/2005, de 24 de octubre, FJ 2; 214/2007, de 16 de abril, FJ 2; 287/2007, de 18 de junio, FJ 2; 18/2011, de 28 de febrero, FJ 2) y, deben también ponderarse, en consecuencia, otras circunstancias relevantes, tales como,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(por todos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 En relación con este criterio de gravedad de la pena, este Tribunal viene aplicando como directriz inicial la de que la pena se sitúe por encima o por debajo de la frontera de los cinco años de prisión (AATC 16/2009, de 26 de enero; 18/2011, de 28 de febrero, FJ 2), que es la que le sirve al legislador penal para diferenciar entre las penas graves y las menos graves (art. 33 del Código penal: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partir de tales presupuestos, y en consonancia con la solicitud del Ministerio Fiscal, procede denegar la suspensión interesada. En aplicación de la regla de acumulación del art. 76 CP, la pena máxima a cumplir por el demandante sería de seis años de prisión, que se halla por encima del citado margen de gravedad con que, como regla general, opera este Tribunal; junto a ello, no cabe desatender que la condena se basa en la comisión de seis delitos de abusos sexuales, que afectan a bienes jurídicos esenciales, y que, como el propio recurrente manifiesta, aún no se ha dado comienzo a la ejecución de la pena, por lo que la suspensión no se revela imprescindible para preservar la efectividad del amparo.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y aunque en sus escritos el recurrente se refiere únicamente a los perjuicios que le ocasionaría la privación de libertad y restrinja su petición a la suspensión de la pena de prisión, sin realizar referencia expresa alguna, es notorio que tampoco cabe acordar su suspensión al resto de pronunciamientos de las resoluciones impugnadas. La pena de inhabilitación para el ejercicio del sufragio pasivo, en atención a su carácter accesorio (AATC 408/2005, de 21 de noviembre, FJ 2; 112/2011, de 18 de julio, FJ 2); las penas de inhabilitación para el ejercicio de la profesión de profesor, y la del pago de las costas procesales, dada su naturaleza económica, admiten su restitución íntegra y son, por tanto, susceptibles de reparación (ATC 59/2008, de 20 de febrero; 112/2011, de 18 de julio, FJ 2). Y por lo que respecta a la prohibición de aproximación y comunicación con las víctimas durante cinco años, la afección a la libertad y, con ello, la irreparabilidad del perjuicio derivado de la misma, es sensiblemente menor que la que se derivaría de la pena de prisión, debiendo atenderse también a que la finalidad de la sanción consiste en otorgar la máxima protección a las víctimas, a la cual, en circunstancias como las que presenta el concreto supuesto, debe otorgarse particular relevancia en la ponderación sobre la procedencia de la suspensión. Así, en supuestos similares hemos denegado la suspensión atendiendo a que “la imposición en la Sentencia de la pena de alejamiento de la víctima tiene por objeto proteger la integridad física de aquélla —que constituye, asimismo, un derecho fundamental— frente a eventuales nuevos ataques, y que la restricción de la libertad ambulatoria del actor a dicha pena es mínima” (AATC 53/2003, de 10 de febrero, FJ 2; 12/2012, de 30 de enero,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solicitada por don Eduardo González Nájera en el recurso de amparo núm. 3723-2011.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