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marzo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4364-2001, promovido por el Consejo de Gobierno de la Junta de Andalucía, se impugna el artículo único, cardinales 1 y 2, de la ley 6/2001, de 8 de mayo, de modificación del Real Decreto Legislativo 1302/1986, de 28 de junio, de evaluación de impacto ambiental.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8 de marzo de 2012,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125-2001, de 12 de julio, sobre el recurso de inconstitucionalidad que pretendía plantear el Consejo de Gobierno de la Comunidad autónoma de Andalucía en relación con la ley 6/2001, de 8 de mayo, de modificación del Real Decreto Legislativo 1302/1986, de 28 de junio, de evaluación de impacto ambiental.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doña Elisa Pérez Vera, Magistrada de este Tribunal, en virtud de lo previsto en los arts. 80 de la Ley Orgánica del Tribunal Constitucional y 221.4 de la Ley Orgánica del Poder Judicial (LOPJ), se estima justificada la causa de abstención formulada, puesto que la mencionada Magistrada intervino, en calidad de Presidenta del Consejo Consultivo de Andalucía, en la adopción del dictamen emitido por dicho órgano con carácter previo a la interposición por el Consejo de Gobierno de la Comunidad Autónoma de Andalucía del recurso de inconstitucionalidad dirigido contra la Ley 6/2001, de 8 de mayo, de modificación del Real Decreto Legislativo 1302/1986, de 28 de junio, de evaluación de impacto ambiental, lo que puede integrarse en las causas 13 y 16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recurso de inconstitucionalidad núm. 4364-2001, apartándola definitivamente del conocimiento del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