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julio de 2010 tuvo entrada en el Registro General de este Tribunal escrito firmado por el Procurador de los Tribunales don Juan José Gómez Velasco, en representación de la mercantil Fontanerías Gallardo, S.L., en virtud del cual interponía recurso de amparo contra la Sentencia de 24 de junio de 2010, de la Sección Tercera de la Audiencia Provincial de Badajoz (con sede en Mérida), recaída en el recurso 519-2010 (proveniente del juicio ordinario 659-2008 del Juzgado de Primera Instancia núm. 1 de Don Benito, Badajoz), y contra la providencia de 13 de julio de 2010 de la misma Sección Tercera de la Audiencia Provincial de Badajoz que inadmite a trámite el incidente de nulidad de actuaciones planteado por no acompañar justificante de la tasa señalada en el art. 35 de la Ley 53/2002, de 30 de diciembre, de medidas fiscales, administrativas y de orden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la alegación de vulneración del derecho a la tutela judicial efectiva (art. 24.1 CE). Denuncia la entidad demandante que la Sentencia de apelación no entró a conocer del fondo del asunto al desestimar el recurso por no haberse presentado el documento justificativo de la autoliquidación de la tasa prevista en el art. 35 de la Ley 53/2002, de 30 de diciembre, de medidas fiscales, administrativas y de orden social. Desestimación que se acordó sin que, con carácter previo, se le hubiera conferido el plazo de subsanación de diez días que prevé este mismo artículo. La desestimación del recurso de apelación —a juicio de la demandante— fueron determinantes de la vulneración de su derecho a la tutela judicial efectiva, provocando indefensión e infringiendo el derecho de acceso a los recursos y la exigencia de una resolución fundada en derecho. Mediante otrosí, interesa la suspensión de la Sentencia, en concreto el pronunciamiento relativo a la imposición de costas procesales, por cuanto que, dado que la Sentencia impugnada manifestó que el Tribunal de primera instancia no debió admitir el recurso de apelación, resulta que habiéndolo admitido y habiendo dado lugar al trámite de oposición de la parte contraria, no se deberían imponer las costas a la parte apelante por no serle imputable dicho error. Añade que la ejecución de la Sentencia impugnada produce un perjuicio a la recurrente que haría perder al amparo su finalidad, por lo que solicita la suspensión total de sus efectos sobre las costas, ya que la misma no ocasiona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febrero de 2012 la Sala Segunda decidió admitir a trámite el presente recurso de amparo, y que se formara pieza separada para tramitar la suspensión interesada por la actora, concediendo, conforme a lo dispuesto en el art. 56 de la Ley Orgánica del Tribunal Constitucional,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28 de febrero de 2012, la representación de la recurrente, reprodujo los argumentos de la demanda añadiendo, además, el argumento de que si la finalidad del recurso es obtener amparo para recuperar el derecho a la tutela judicial efectiva y una Sentencia sobre el fondo, sin indefensión, debería poder conseguirse sin causar más perjuicio al propio recurrente, como sería la declaración de firmeza de la resolución y tener que abonar las costas que impone una resolución que no ha entrado en el fondo del asunto injustamente y más aún cuando es la propia Sentencia impugnada la que manifiesta que el Tribunal de primera instancia no debió admitir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 de marzo de 2012, tras recordar la doctrina constitucional al respecto, con especial referencia a la relativa a la suspensión de la ejecución de las resoluciones cuyos efectos son fundamentalmente patrimoniales o de contenido económico, considera que se debe denegar la suspensión solicitada. Subraya el Fiscal para sostener su propuesta la falta de precisión y la carencia de acreditación, mediante alegaciones concretas, sobre el carácter irreparable del perjuicio que derivaría para la recurrente de la ejecución del pronunciamiento condenatorio al abono de las costas procesales y sobre la pérdida de la finalidad del amparo en caso de mantenerse la ejecución de la resolución, todo lo cual origina que no pueda estimarse la solicitud de suspensión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de la Ley Orgánica del Tribunal Constitucional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norma tiene un contenido similar al del art. 56.1 LOTC en la redacción anterior a la Ley Orgánica 6/2007, en cuya interpretación, este Tribunal ha mantenido que, cuando se trata de resoluciones judiciales, la suspensión de su ejecución entraña en sí misma una perturbación del interés general consistente en mantener su eficacia (AATC 99/2002, de 5 de junio; 263/2005, de 2 de junio; y 369/2005, de 24 de octubre). Por ello, y en atención a la naturaleza especial de la jurisdicción de amparo, la suspensión prevista en la LOTC se configura como una medida provisional de carácter excepcional y de aplicación restrictiva (AATC 227/1999, de 27 de septiembre; 41/2001, de 26 de febrero; 127/2001, de 21 de mayo; y 369/2005), siendo la regla general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228/2001, de 24 de julio; 263/2005, 369/2005 y 214/2007, de 16 de abril).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211/2004, de 2 junio, FJ 2; y 149/2006, de 8 de mayo, FJ 1,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de la Sentencia impugnada en lo que se refiere a la condena al abono de las costas procesales, hemos de señalar que no procede, de conformidad con el criterio de este Tribunal de que, por tratarse de condenas de contenido económico, los perjuicios anejos a su ejecución son perfectamente reparables, incluso aunque se otorgase el amparo (AATC 371/1996, de 16 de diciembre; 91/1997, de 8 de mayo; 182/1998, de 14 de septiembre; 273/1998, de 14 de diciembre; 189/2000, de 24 de julio; 193/2000, de 24 de julio, y 258/2000, de 13 de noviembre). Criterio que se ve confirmado por el dato añadido de que la recurrente no subviene a la carga que le incumbe de acreditar los graves quebrantos que, según afirma en su demanda, le causaría el cumplimiento de lo resuelto (por todos, ATC 251/1998). En este sentido, no podemos más que confirmar la alegación del Ministerio Fiscal de que la recurrente no sólo no justifica, ni cuantifica el perjuicio aducido, sino que tampoco razona en qué forma su actual situación económica pudiera verse comprometida por el pago de las costas a las que fue condenada.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5895-2010 , promovido por Fontanerías Gallardo, S.L.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