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7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julio de 2009, el Procurador de los Tribunales don José Javier Cuevas Rivas, en nombre y representación de don Jesús Díaz de Heredia Ruiz de Arbulo, y bajo la dirección del Letrado don Iker Urbina Fernández, interpuso recurso de amparo contra el Auto de la Sección Primera de la Sala de lo Penal de la Audiencia Nacional de 26 de mayo de 2009, dictado en la ejecutoria núm. 21-1986, por el que se desestima el recurso de súplica interpuesto contra la providencia de 6 de mayo de 2009, en la que se aprueba fecha para licenciamiento definitivo.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A esos efectos, se expone que en dichas resoluciones, al haberse aplicado la doctrina establecida en la Sentencia de la Sala Segunda del Tribunal Supremo núm. 197/2006, de 28 de febrero, se ha retrasado el licenciamiento definitivo en varios años, por lo que su ejecución ocasionaría un perjuicio al recurrente que haría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26 de marzo de 2012,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20 de abril de 2012, presentó alegaciones en las que, enunciando la jurisprudencia de este Tribunal sobre el particular, interesó que se denegara la suspensión solicitada, argumentando, por un lado, la gravedad de las penas impuestas cuya fecha de cumplimiento es el objeto del recurso de amparo y la lejanía del tiempo de cumplimiento definitivo fijado en las resoluciones impugnadas y, por otro, la circunstancia de que la suspensión determinaría la puesta en libertad del recurrente lo que supondría, al menos parcialmente, un otorgamiento anticipado.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16 de abril de 2012, presentó alegaciones insistiendo en la necesidad de la suspensión de las resoluciones impugnadas por los graves perjuicios que supone el mantenimiento en prisión, toda vez que se ha acordado nueva fecha de licenciamiento definitivo para el 19 de febrero de 2016, en vez de la anteriormente fijada de 23 de febrero de 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56.1 de la Ley Orgánica del Tribunal Constitucional dispone que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que no se produzca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por las que se aprueba la fecha de licenciamiento definitivo en aplicación de la doctrina establecida en la Sentencia de la Sala Segunda del Tribunal Supremo núm. 197/2006, de 28 de febrero, no resulta procedente la puesta cautelar en libertad del recurrente por implicar una perturbación grave de los intereses generales, y, en concreto, del legítimo interés público en el cumplimiento de las penas, en atención a la gravedad de las penas que se están ejecutando. A ello se añade la circunstancia de que la puesta en libertad del recurrente supondría, al menos parcialmente, un otorgamiento anticipado del amparo que se solicita, lo que desnaturalizaría la naturaleza cautelar de la medida (por todos, ATC 206/2010,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y tal como señala el Ministerio Fiscal, la solicitud de la suspensión debe ser rechazada, ya que se trata del cumplimiento de penas graves cuyo límite se ha establecido en treinta años y su concesión supondría la puesta en libertad del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suspensión solicitada en el recurso de amparo núm. 6106-2009.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