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7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julio de 2010, la Procuradora de los Tribunales doña María Jesús Mateos Herranz, en nombre y representación de don Antonio Muñiz García, don Rafael Muñiz García y Hermanos Muñiz de Ayamonte, S.L., interpuso recurso de amparo contra la Sentencia de 29 de enero de 2010 dictada por la Sección Segunda de la Audiencia Provincial de Huelva, que estimó en parte el recurso de apelación interpuesto contra la Sentencia de 20 de febrero de 2009 dictada por el Juzgado de lo Penal núm. 4 de Huelva en el procedimiento abreviado núm. 221-2008. Asimismo, el recurso de amparo impugna el Auto de la Sala de 3 de mayo de 2010, que desestima el incidente de nulidad promovido contra la Sentencia recaída en apelación y suprime el párrafo 1 del epígrafe 4.4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 20 de febrero de 2009 el Juzgado de lo Penal núm. 4 de Huelva absuelve a los recurrentes del delito contra los derechos de los trabajadores, en concurso con un delito de lesiones por imprudencia grave, por el que venían siendo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apelación, por Sentencia de 29 de enero de 2010 la Audiencia Provincial de Huelva (Sección Segunda) condenó a los recurrentes como autores de un delito contra los derechos de los trabajadores [art. 316 del Código penal (CP)] en concurso con una falta de lesiones por imprudencia (art. 621.3 CP), consistente en penas de prisión, según los distintos responsables, de nueve meses y multa de nueve meses a razón de diez euros diarios o apremio personal subsidiario de un día por cada dos cuotas en caso de impago e insolvencia, y a las penas accesorias de inhabilitación especial por tiempo de nueve meses para el ejercicio, tanto personal como a través de su condición de administrador de una persona jurídica, de la actividad empresarial de la construcción, y por la falta, pena de veinte días de multa con una cuota diaria de diez euros o apremio personal subsidiario de un día por cada dos cuotas en caso de impago o insolvencia.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Sentencia los condenados interpusieron incidente de nulidad de actuaciones, que fue inadmitido por providencia de 3 de mayo de la Audiencia Provincial de Huelva.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consideran que se han vulnerado sus derechos a un proceso con todas las garantías (art. 24.2 CE) y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otrosí, los recurrentes solicitaban la suspensión de la ejecución de la Sentencia de 29 de enero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marzo de 2012, dictada por la Sala Segunda del Tribunal Constitucional, se acordó admitir a trámite la demanda. Por otra providencia de esa misma fecha, la Sala acordó formar la correspondiente pieza separada de suspensión según lo solicitado por el demandante y, de conformidad con lo prevenido en el art. 56 de la Ley Orgánica del Tribunal Constitucional, conceder un plazo común de tres días al Ministerio Fiscal y al solicitante de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trámite de alegaciones mediante escrito registrado en este Tribunal con fecha de 17 de abril de 2012 en el que interesó la estimación de la solicitud de suspensión formalizada por la parte demandante en lo relativo a la pena privativa de libertad impuesta en la Sentencia recurrida, debiéndose extender dicha suspensión a la pena accesoria de inhabilitación.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por su parte, presentó escrito de alegaciones el 10 de abril de 2012, insistiendo en los argumentos expresados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en la redacción dada por la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concretamente, este Tribunal, entre otros muchos, en los AATC 116/2008, de 28 de abril; 25/2009, de 26 de enero, y 145/2010, de 18 de octubre,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lo cual sucede en las condenas a penas privativas de libertad (AATC 155/2002, de 16 de septiembre, FJ 3; y 9/2003, de 20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supuesto que aquí se examina de la doctrina referida obliga a considerar que, si se compara la duración de la pena privativa de libertad impuesta a los demandantes con el tiempo que requiere normalmente la tramitación de un proceso de amparo como el presente, no suspender su ejecución ocasionaría a aquél un perjuicio irreparable que dejaría totalmente en entredicho la eficacia de un eventual fallo estimatorio de la demanda de amparo, por cuanto la pena de prisión podría ya estar cumplida al menos en gran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atendidas las circunstancias concurrentes en el caso, no se aprecia que acceder a la suspensión solicitada genere una lesión específica y grave de los intereses generales —más allá de aquella que de por sí produce la no ejecución de un fallo judicial—, ni de derechos fundamentales o libertades públicas de terceros, mientras que en el supuesto contrario sí se irrogarían al recurrente perjuicios de muy difícil o imposible reparación. Por todo ello, en aplicación del principio de proporcionalidad, se entiende procedente acordar la suspensión de la pena privativa de libertad impuesta en la Sentencia recurrida, debiéndose extender dicha suspensión a la pena accesoria de inhabilitación.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cambio no procede la suspensión del resto de pronunciamientos condenatorios que contiene la Sentencia antedicha, puesto que no se argumenta ningún perjuicio irreparable que pudiera provocar su ejecución, y ha de alegarse la bien conocida doctrina de que las resoluciones judiciales con efectos meramente patrimoniales por lo general no causan perjuicios irremediables, por más que puedan producir efectos desfavorables a quien demanda el amparo, ya que su reparación posterior, en caso de estimarse éste, es meramente económica y por ello no dificultosa (ATC 12/2012, de 30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en fin, la suspensión de la responsabilidad subsidiaria para el caso de impago de la pena de multa, al tratarse de una eventualidad incierta que depende de que la multa no llegase a ser pagada, voluntariamente o por la vía de apremio, y en cualquier caso de una eventualidad futura que, en caso de sobrevenir, podría dar lugar a la modificación de la medida cautelar que ahora se adopta, en virtud del art. 57 LOTC (ATC 53/2009, de 23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Conceder la suspensión solicitada en lo que se refiere a las penas privativas de libertad de nueve meses de prisión impuestas a los recurrentes en la Sentencia de 17 de abril de 2012 dictada por la Sección Segunda de la Audiencia Provincial de Huelva.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Denegar la suspensión de los restantes pronunciamientos.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