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noviembre de 2008, el Procurador de los Tribunales don Javier Cuevas Rivas, en nombre y representación de don Ignacio Fernández de Larrinoa Pérez de Luco y bajo la dirección letrada de don Iker Urbina Fernández, interpuso recurso de amparo contra el Auto de la Sección Segunda de la Sala de lo Penal de la Audiencia Nacional, de 14 de octubre de 2008, dictado en la ejecutoria núm. 62-1991, que desestimó el recurso de súplica formalizado por el recurrente frente a la providencia dictada por dicha Sala, en fecha 17 de septiembre de 2008, que aprobó la propuesta de licenciamiento definitivo que hacía el centro penitenciario para el día 12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Aduce el recurrente que en dichas resoluciones, al haberse aplicado la doctrina establecida en la Sentencia de la Sala Segunda del Tribunal Supremo núm. 197/2006, de 28 de febrero, se ha retrasado su licenciamiento definitivo en once años, por lo que su ejecución le ocasionaría un perjuicio que haría al amparo perder su finalidad. Junto a ello, se alega también que la suspensión de las resoluciones impugnadas no ocasionaría una grave perturbación de los intereses generales, pues la única consecuencia que de la misma se derivaría, en el caso de que finalmente se desestimara el recurso de amparo, sería la demora en el cumplimiento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así como conceder al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presentado en el Juzgado de Instrucción núm. 26 de Madrid el 3 de abril de 2012 y registrado en este Tribunal el 16 de abril de 2012, presentó alegaciones reiterando los argumentos expuestos en su escrito de demanda. Insiste en los graves perjuicios que le ocasionaría la ejecución de las resoluciones impugnadas, dado que, como consecuencia de la nueva liquidación de condena efectuada, se retrasaría once años su licenciamiento definitivo. Considera que, por ello, de no atenderse su solicitud, el amparo podría perder su finalidad ya que no se le podría restituir el tiempo cumplido en exceso. Por otra parte, señala que la suspensión de la ejecución de las resoluciones impugnadas no afectaría al interés general, ya que si el amparo se denegara podría reingresar en prisión y cumplir entonces la pena que le faltara.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20 de abril de 2012, presentó alegaciones e interesó que se denegara la suspensión, citando para ello diversos Autos de este Tribunal que han resuelto sobre la suspensión en casos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en casos como el presente, en los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como interesa el Ministerio Fiscal, la solicitud de la suspensión debe ser rechazada, ya que se trata del cumplimiento de penas graves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9017-2008.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