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mayo de 2009, el Procurador de los Tribunales don Javier Cuevas Rivas, en nombre y representación de don Nicolás Francisco Rodríguez, y bajo la dirección del Letrado don Iker Sarriegi Etxabe, interpuso recurso de amparo contra el Auto de la Sección Segunda de la Sala de lo Penal de la Audiencia Nacional de 31 de marzo de 2009, dictado en la ejecutoria núm. 34-1992, por el que se desestima el recurso de súplica interpuesto contra el Auto de 9 de marzo de 2009, que estima aplicable al recurrente la doctrina recogida en la Sentencia de la Sala de lo Penal del Tribunal Supremo núm. 197/2006, de 28 de febrero, y contra la providencia de 21 de abril de 2009 por la que se acuerda fijar como fecha de licenciamiento definitivo del recurrente el día 12 de mayo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si se aplica la jurisprudencia anterior a la doctrina establecida en la Sentencia de la Sala de lo Penal del Tribunal Supremo citada, el licenciamiento definitivo del recurrente habría tenido lugar el día 26 de mayo de 2009, conforme propuso el centro penitenciario en el que cumple condena, por lo que las resoluciones impugnadas, al rechazar la propuesta del centro y fijar el día 12 de mayo de 2017 como fecha de licenciamiento definitivo, conforme a la doctrina de la mencionada Sentencia, han retrasado su puesta en libertad ocho años, con lo que la ejecución de las resoluciones impugnadas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23 de abril de 2012, presentó alegaciones en las que, con cita de la doctrina de este Tribunal sobre el particular, interesó que se denegara la suspensión solicitada, dada la gravedad de las penas impuestas al recurrente, la lejanía del tiempo de cumplimiento definitivo y la circunstancia de que la suspensión determinaría la puesta en libertad del recurrente, lo que supondría, al menos parcialmente, un otorgamiento anticipado del amparo, lo que desnaturalizaría el carácter cautelar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en este Tribunal el 16 de abril de 2012, presentó alegaciones reiterando su solicitud de suspensión de las resoluciones impugnadas por los graves perjuicios que supone el mantenimiento en prisión, toda vez que ya han transcurrido casi tres años desde que se superó la fecha del licenciamiento definitivo propuesto por el centro penitenciario y rechazado por las resoluciones recurridas en amparo, a lo que añade que la suspensión solicitada no supone perturbación grave de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 De ello deriva, como regla general, que la admisión del amparo no conlleva la suspensión de la ejecución de los actos recurridos, ni siquiera en el supuesto expresamente previsto de la pérdida de finalidad del amparo, dado que la suspensión se condiciona a que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relativas a la aprobación del licenciamiento definitivo en aplicación de la doctrina establecida en la Sentencia de la Sala de lo Penal del Tribunal Supremo núm. 197/2006, de 28 de febrero, no resulta procedente la puesta cautelar en libertad del recurrente por implicar una perturbación grave de un interés constitucionalmente protegido como lo es 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AATC 206/2010, de 30 de diciembre, 3/2011, de 14 de febrero, y 25/2012,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tal como interesa el Ministerio Fiscal, la solicitud de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4796-2009.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