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junio de 2009, el Procurador de los Tribunales don Javier Cuevas Rivas, en nombre y representación de doña Miren Maitane Sagastume Arrieta, y bajo la dirección de la Letrada doña Arantxa Aparicio Lopetegui, interpuso recurso de amparo contra el Auto de la Sección Segunda de la Sala de lo Penal de la Audiencia Nacional de 24 de abril de 2009, dictado en la ejecutoria núm. 85-1996, por el que se desestima el recurso de súplica interpuesto contra la providencia de 2 de marzo de 2009 por la que se acuerda fijar como fecha de licenciamiento definitivo de la recurrente el día 12 de agosto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núm. 197/2006, de 28 de febrero, el licenciamiento definitivo de la recurrente habría tenido lugar el día 26 de julio de 2009, por lo que las resoluciones impugnadas, al fijar el día 28 de junio de 2021 como fecha de licenciamiento definitivo, conforme a la doctrina de la citada Sentencia, han retrasado su puesta en libertad doce años, con lo que la ejecución de las resoluciones impugnadas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 la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23 de abril de 2012, presentó alegaciones en las que, con cita de la doctrina de este Tribunal sobre el particular, interesó que se denegara la suspensión solicitada, dada la gravedad de las penas impuestas a la recurrente, la lejanía del tiempo de cumplimiento definitivo y la circunstancia de que la suspensión determinaría la puesta en libertad de la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escrito registrado el 3 de abril de 2012, presentó alegaciones reiterando su solicitud de suspensión de las resoluciones impugnadas por los graves perjuicios que supone el mantenimiento en prisión, lo que determina que el amparo pierda su finalidad, toda vez que ya han transcurrido más de dos años y medio desde que se superó la fecha del licenciamiento definitivo que le corresponde conforme a la jurisprudencia anterior a la Sentencia de la Sala de lo Penal del Tribunal Supremo núm. 197/2006,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Habiéndose personado el Abogado del Estado en el presente recurso de amparo, por diligencia de ordenación del Secretario de Justicia de la Sala Primera de 3 de mayo de 2012 se le concedió plazo de tres días para que alegase lo que estimase pertinente sobre la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9 de mayo de 2012 presentó sus alegaciones el Abogado del Estado, en las que, con cita de la reiterada doctrina de este Tribunal en asuntos similares, interesó que se denegara la suspensión solicitada, por las mismas razones que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Transcurrido ya el plazo conferido mediante la providencia de 26 de marzo de 2012, la recurrente, por escrito registrado el 9 de mayo de 2012, presentó nuevo escrito de alegaciones en la presente pieza separada, reiterando su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tal como interesan el Ministerio Fiscal y el Abogado del Estado, la solicitud de suspensión debe ser rechazada, ya que se trata del cumplimiento de penas graves cuyo límite se ha establecido en treinta años y su concesión supondría la puesta en libertad de la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5499-2009.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