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21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enero de 2011, el Procurador de los Tribunales don Javier Cuevas Rivas, en nombre y representación de doña Inmaculada Pacho Martín, y bajo la dirección de la Letrada doña Haizea Ziluaga Larreategi, interpuso recurso de amparo contra el Auto de la Sección Segunda de la Sala de lo Penal de la Audiencia Nacional de 12 de noviembre de 2010, dictado en la ejecutoria núm. 8-1996, por el que se desestima el recurso de súplica interpuesto contra el Auto de 28 de septiembre de 2010, que estima aplicable a la recurrente la doctrina recogida en la Sentencia de la Sala de lo Penal del Tribunal Supremo núm. 197/2006, de 28 de febrero, y desestima la petición de libertad instada, acordando que procede estar a la fecha de licenciamiento definitivo de la recurrente fijada el día 15 de enero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A esos efectos se expone que si se aplica la jurisprudencia anterior a la doctrina establecida en la Sentencia de la Sala de lo Penal del Tribunal Supremo citada, el licenciamiento definitivo de la recurrente habría tenido lugar el día 11 de marzo de 2008, conforme propuso el centro penitenciario en el que cumple condena, por lo que las resoluciones impugnadas, al rechazar la propuesta del centro y fijar el día 15 de enero de 2021 como fecha de licenciamiento definitivo, conforme a la doctrina de la mencionada Sentencia, han retrasado su puesta en libertad trece años, con lo que la ejecución de las resoluciones impugnadas ocasionaría un perjuicio a la recurrente que haría al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26 de marzo de 2012, acordó, respectivamente, la admisión a trámite de la demanda de amparo y la formación de pieza separada para la tramitación del incidente sobre la suspensión solicitada y conceder a la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en este Tribunal el 19 de abril de 2012, presentó alegaciones en las que, con cita de la doctrina de este Tribunal sobre el particular, interesó que se denegara la suspensión solicitada, dada la gravedad de las penas impuestas a la recurrente, la lejanía del tiempo de cumplimiento definitivo y la circunstancia de que la suspensión determinaría la puesta en libertad de la recurrente, lo que supondría, al menos parcialmente, un otorgamiento anticipado del amparo, lo que desnaturalizaría el carácter cautelar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recurrente, por escrito registrado en este Tribunal el 16 de abril de 2012, presentó alegaciones reiterando su solicitud de suspensión de las resoluciones impugnadas por los graves perjuicios que supone el mantenimiento en prisión, toda vez que ya han transcurrido más de cuatro años desde que se superó la fecha del licenciamiento definitivo propuesto por el centro penitenciario y rechazado por las resoluciones recurridas en amparo, a lo que añade que la suspensión solicitada no supone perturbación grave de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Habiéndose personado el Abogado del Estado, en representación de la Administración, por diligencia de ordenación de 3 de mayo de 2012 se acordó concederle el plazo de tres días para que formulase alegaciones sobre la suspensión interesada, lo que realizó mediante escrito registrado en este Tribunal el día 9 de mayo de 2012 en el que, con cita de la jurisprudencia constitucional aplicable, se opuso a la concesión de la medida cautelar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56.2 de la Ley Orgánica del Tribunal Constitucional dispone que la Sala que conozca de un recurso de amparo acordará la suspensión de la ejecución del acto de los poderes públicos por razón del cual se reclame el amparo cuando dicha ejecución, caso de llevarse a cabo, “produzca un perjuicio al recurrente que pudiera hacer perder al amparo su finalidad”, consagrándose, en el segundo inciso de dicho precepto, un límite a esa facultad, pues queda condicionada a que “la suspensión no ocasione perturbación grave a un interés constitucionalmente protegido, ni a los derechos fundamentales o libertades de otra persona”. De ello deriva, como regla general, que la admisión del amparo no conlleva la suspensión de la ejecución de los actos recurridos, ni siquiera en el supuesto expresamente previsto de la pérdida de finalidad del amparo, dado que la suspensión se condiciona a que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reiterado que en casos como el presente en que se solicita la suspensión de la ejecución de las resoluciones judiciales relativas a la aprobación del licenciamiento definitivo en aplicación de la doctrina establecida en la Sentencia de la Sala de lo Penal del Tribunal Supremo núm. 197/2006, de 28 de febrero, no resulta procedente la puesta cautelar en libertad del recurrente por implicar una perturbación grave de un interés constitucionalmente protegido como lo es el legítimo interés público en el cumplimiento de las penas, en atención a la gravedad de las penas que se están ejecutando. A ello se añade la circunstancia de que la puesta en libertad de la recurrente supondría, al menos parcialmente, un otorgamiento anticipado del amparo que se solicita, lo que desnaturalizaría la naturaleza cautelar de la medida (por todos, AATC 206/2010, de 30 de diciembre, 3/2011, de 14 de febrero, y 25/2012, de 31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solicitud de suspensión debe ser rechazada, ya que se trata del cumplimiento de penas graves cuyo límite se ha establecido en treinta años y su concesión supondría la puesta en libertad de la recurrente y, con ello, un parcial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238-2011.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