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enero de 2011, el Procurador de los Tribunales don Jaime Briones Méndez interpuso recurso de amparo en nombre y representación de don Francisco Javier González Enríquez y otros contra el Auto del Juzgado de Primera Instancia núm. 87 de Madrid de 20 de diciembre de 2010, que desestimó la oposición del Banco Bilbao Vizcaya Argentaria, S.A. (BBVA), frente a la solicitud de diligencias preliminares formulada por la Asociación de Usuarios de Bancos, Cajas de Ahorros y Seguros de España (ADICAE) y acordó requerir al BBVA para que en plazo de treinta días entregara al Juzgado determinada información, para su puesta a disposición de ADICAE; asimismo se impugna la providencia de 30 de noviembre de 2010, que denegó la personación de los recurrentes en el procedimiento de diligencias preliminares e inadmitió su petición de nulidad de actuaciones; la providencia de 20 de diciembre de 2010, que inadmitió a trámite el recurso de reposición formulado contra la anterior providencia; y, finalmente, la providencia de 22 de diciembre de 2010, que ordenó la devolución de los escritos oponiéndose a ADICAE y de solicitud de eliminación de datos de carácter personal de la base de datos a entregar por el BBVA al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solicitó en la demanda su acumulación al recurso de amparo núm. 8640-2010, del que conoce la Sala Primera de este Tribunal Constitucional, el cual  fue interpuesto por el BBVA contra las resoluciones judiciales antes reseñadas.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 de marzo de 2012 la Sala Segunda de este Tribunal admitió a trámite la demanda de amparo y acordó conceder a las partes un plazo de diez días, a fin de que, conforme a lo establecido en el art. 83 de la Ley Orgánica del Tribunal Constitucional, efectuaran alegaciones sobre la acumulación del presente recurso al seguido bajo núm. 8640-2010 en la Sala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15 de marzo de 2012 se mostró favorable a la acumulación de las demandas puesto que ambas se dirigen contra las mismas resoluciones judiciales y se denuncia en ellas la vulneración del mismo derecho fundamental (el derecho a la protección de datos personales ex art. 18.4 CE en relación con el derecho a la intimidad ex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demandantes de amparo presentó sus alegaciones el 15 de marzo de 2012, mediante escrito en el que se reitera la petición de acumulación consignada en el escrito de demanda, la vista de la identidad de objeto de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mayo de 2012 la Sala Primera de este Tribunal dictó Sentencia resolviendo el recurso de amparo núm. 8640-2010.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83 de la Ley Orgánica del Tribunal Constitucional faculta a este Tribunal para disponer la acumulación “de aquellos procesos con objetos conexos que justifiquen la unidad de tramitación y decisión”, por lo que resulta condición indispensable, para el ejercicio de tal facultad, que los procesos cuya acumulación se pretenda estén pendientes de su resolución, circunstancia que no concurre en el presente caso, habida cuenta de que el recurso de amparo núm. 8640-2010 ha sido decidido por la Sala Primera de este Tribunal mediante la STC 96/2012, pronunciada el 7 de mayo del año en 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del presente recurso de amparo núm. 444-2011 al recurso de amparo núm. 8640-2010.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