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24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7325-2010, promovido por don Luis María Lizarralde Izaguirre, representado por el Procurador de los Tribunales don Javier Cuevas Rivas, contra el Auto de 8 de julio de 2010 de la Sala de lo Penal del Tribunal Supremo, que inadmite el recurso de casación formalizado por el recurrente contra el Auto de 16 de diciembre de 2009 de la Sección Tercera de la Sala Penal de la Audiencia Nacional que , conforme a la doctrina de la Sentencia del Tribunal Supremo (Sala Segunda) núm. 197/2006, de 28 de febrero, desestima el recurso de súplica deducido por aquel frente a la providencia de 18 de noviembre de 2009 de la Sección Tercera de la Sala Penal de la Audiencia Nacional (expediente de refundición núm. 6-1998, dimanante de la ejecutoria núm. 60-1996, del sumario núm. 1-1981 del Juzgado Central de Instrucción núm. 5) que aprobaba el licenciamiento definitivo del actor para el día 9 de mayo de 2022. Ha intervenido el Ministerio Fiscal. Ha sido Ponente el Magistrado don Ramón Rodríguez Arribas,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octubre de 2010 don Luis María Lizarralde Izaguirre, representado por el Procurador de los Tribunales don Javier Cuevas Rivas, interpuso recurso de amparo contra las resoluciones a las que se ha hecho referencia en el encabezamiento de esta sentencia, por vulneración de sus derechos a la tutela judicial efectiva (art. 24.1 CE), en su vertiente de intangibilidad de las resoluciones judiciales firmes en conexión con la observancia de los principios de seguridad jurídica e irretroactividad (art. 9.3 CE); y a la libertad personal (art. 17.1 CE); así como por infracción de los principios de reeducación y reinserción social de las penas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integrante del comando “Donosti” (1981) de la organización terrorista ETA, resultó ejecutoriamente condenado por Sentencia de la Audiencia Nacional núm. 22/1996, de 24 de abril de 1996 (sumario 1-81 del Juzgado Central de Instrucción núm. 5), como autor de dos delitos de asesinato con alevosía, uno consumado y otro en grado de frustración concurriendo la circunstancia agravante de premeditación, a las penas de veintiséis años de reclusión mayor y dieciséis años de reclusión respectivamente. De igual manera, mediante Sentencia de la Audiencia Nacional núm. 37/1995, de 23 de junio de 1995 (sumario 184-81 del Juzgado Central de Instrucción núm. 4), fue condenado como autor de un delito de asesinato con alevosía y premeditación a la pena de veintiocho años de reclusión mayor, a la pena de cuatro años de prisión por un delito de utilización ilegítima de vehículo de motor ajeno con empleo de intimidación, y a la pena de tres meses de arresto mayor por un delito de coacciones.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28 de enero de 1998 de la Sección Tercera de la Sala de lo Penal de la Audiencia Nacional (expediente refundición núm. 6-1998) se acordó acumular las condenas impuestas al actor, “fijándose en una duración de treinta años de privación de libertad el tiempo total de cumplimiento de todas las penas privativas de libertad impuestas en las causas expresadas”, resolución que devino firme y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septiembre de 2009, el Director del centro penitenciario de Burgos elevó propuesta de licenciamiento definitivo en la que, con mención de los días de prisión preventiva y de redenciones ordinaria y extraordinaria, concluía que la fecha de extinción con redención pudiera ser el 26 de noviembre de 2009, si bien señalaba como fecha de extinción sin redención el 9 de mayo de 2022, significando que “el citado penado pude (sic) estar incluido dentro de los criterios de la Sentencia del Tribunal Supremo de 28/02/2006 (doctrina Parot), dejando a su superior criterio si procede adoptar esta nueva doctrina”. Posteriormente, tras interesarlo la Audiencia Nacional en escrito de 22 de octubre de 2009, el Director del centro penitenciario de Burgos elevó, con fecha 26 de octubre de 2009, nueva propuesta de licenciamiento definitivo en la que se fija la extinción de condena sin redención para el día 9 de mayo de 2022. De esta manera, mediante providencia de 18 de noviembre de 2009, la Sección Tercera de la Sala de lo Penal de la Audiencia Nacional aprobó el licenciamiento definitivo del penado para el día 9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interpuso recurso de súplica contra la anterior providencia, al estimar que infringía su derecho a la tutela judicial efectiva en relación con los principios de seguridad jurídica, irretroactividad de las normas e intangibilidad de resoluciones judiciales firmes, así como de su derecho a la libertad. En Auto de 16 de diciembre de 2009 la Sección Tercera de la Sala de lo Penal de la Audiencia Nacional desestimó el recurso por cuanto “la interpretación de las normas efectuada por la parte no puede primar sobre la interpretación que de las mismas efectúa la jurisprudencia del Tribunal Supremo, y que es la que esta Sala ha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el referido Auto se anunció por la representación del recurrente recurso de casación (art. 988 de la Ley de enjuiciamiento criminal) por infracción de precepto constitucional (arts. 9.3, 17.1 24.1 y 25. 2 CE) y legal [arts. 70.2 y 100 del Código penal (CP) de 1973]. Mediante Auto de 23 de febrero de 2010 se tuvo por preparado el recurso de casación, si bien el Auto del Tribunal Supremo (Sala de lo Penal) de 8 de julio de 2010 acordó no haber lugar a la 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alegar el cumplimiento de los requisitos formales, justifica la trascendencia constitucional en la novedad y necesidad de un pronunciamiento sobre la doctrina de la STS (Sala Segunda) núm. 197/2006, de 28 febrero (“doctrina Parot”), la cual, contra un consolidado criterio jurisprudencial, computa la redención de penas por el trabajo, no sobre la pena acumulada, sino sobre cada una de las impuestas, haciendo desaparecer las redenciones y beneficios ya firmes, afectándose así la tutela judicial, el principio de legalidad, la seguridad jurídica y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vulnerado el derecho al proceso con las debidas garantías y a la tutela judicial efectiva (arts. 24.1 CE) en su vertiente de intangibilidad de las resoluciones judiciales firmes en conexión con la observancia de los principios de seguridad jurídica e irretroactividad (art. 9.3 CE). Considera que las resoluciones que se recurren conllevan una alteración del Auto de 28 de enero de 1998 de la Sección Tercera de la Sala de lo Penal de la Audiencia Nacional, resolución judicial firme por virtud de la cual se aprobó la refundición de condenas al recurrente, en aplicación de lo dispuesto en los arts. 70.2 y 100 CP 1973, y se fijó como límite en el cumplimiento las diversas penas en el de treinta años, pena resultante sobre la que habrían de operar los beneficios y redenciones penitenciarias.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vulnerado el derecho a la libertad personal (art. 17.1 CE) por cuanto las resoluciones que se recurren conllevan el vaciamiento absoluto de contenido de la figura de la redención de penas por el trabajo, haciéndola inoperante y acarreando un alargamiento legítimo de la permanencia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que se ha infringido el art. 25.2 CE por vulneración del principio de que las penas deben ir orientadas a la reeducación y reinserción social en conexión con la dignidad del ser humano (art. 10 CE) y el principio de humanidad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2011, la Sala Segunda del Tribunal Constitucional admitió a trámite el recurso de amparo recabando las actuaciones, con emplazamiento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diligencia de ordenación de la Secretaría de Justicia de la Sala Segunda del Tribunal Constitucional de 13 de octubre de 2011, se acordó reiterar el testimonio de las actuaciones y de los emplazamientos a la Sección Tercera de la Sala de lo Penal de la Audiencia Nacional. En diligencia de ordenación de la Secretaría de Justicia de la Sala Segunda del Tribunal Constitucional de 24 de noviembre de 2011, se acordó remitir nuevamente la demanda de amparo a la Sección Tercera de la Sala de lo Penal de la Audiencia Nacional a fin de que procediese a realizar los emplazamientos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14 de febrero de 2012 el Fiscal ante el Tribunal Constitucional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fácticos y jurídicos del caso, considera que con el nuevo criterio interpretativo operado por las resoluciones judiciales recurridas se ha ocasionado un evidente perjuicio penológico al demandante de amparo. Si bien afirma que las liquidaciones de condena no parece que puedan ser clasificadas como resoluciones judiciales de naturaleza intangible, habida cuenta de la extremada fluidez de la vida de cumplimiento penitenciario cuando entra en juego la institución de retención de penas, sí que reputa como firme e intangible el Auto en el que se fija la refundición de penas. Señala que, establecidos unos criterios para fijar la refundición y ejecución de condena en el Auto de 28 de enero de 1998, éstos no pueden variarse en virtud de una posterior resolución por vía de remisión a una interpretación diferente de las normas atinentes, por lo que considera que se ha vulnerado el derecho a la intangibilidad de la resoluciones judiciales (art. 24.1 CE) engarzándolo con el principio de legalidad (art. 25.1 CE) en relación con la prohibición de retroactividad de las normas penales perjudiciales para el reo (art. 9.3 CE) y con la vulneración del derecho a la libertad personal (art. 17.1 CE), al haberse creado ex novo un nuevo marco paranormativo que ha causado una extensión de la fecha de licenciamiento del interno y una revisión en la aplicación de los beneficios de la redención de penas. Rechaza el Fiscal, sin embargo, la invocación del art. 25.2 CE, por cuanto este precepto no contiene un derecho fundamental invocable en amparo, sino un mandato dirigido al legislador para orientar la política penal y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marzo de 2012, el Pleno, de conformidad con lo establecido en el art. 10.1 n) de la Ley Orgánica del Tribunal Constitucional y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22 de mayo de 2012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decidir si el Auto de 8 de julio de 2010 de la Sala de lo Penal del Tribunal Supremo, que inadmite el recurso de casación formalizado por el recurrente contra el Auto de 16 de diciembre de 2009 de la Sección Tercera de la Sala Penal de la Audiencia Nacional que desestima el recurso de súplica deducido por aquél frente a la providencia de 18 de noviembre de 2009 de la Sección Tercera de la Sala Penal de la Audiencia Nacional (expediente de refundición núm. 6/1998, dimanante de la ejecutoria núm. 60-1996, del sumario núm. 1-81 del Juzgado Central de instrucción núm. 5) que aprobaba el licenciamiento definitivo del actor para el día 9 de mayo de 2022, al aplicar el criterio de la Sentencia del Tribunal Supremo (Sala Segunda) núm. 197/2006, de 28 de febrero (cómputo de los beneficios y redenciones penitenciarias sobre cada una de las penas y no sobre la resultante de la acumulación), ha lesionado los derechos fundamentales del recurrente a la tutela judicial efectiva (art. 24.1 CE), en su vertiente de intangibilidad de las resoluciones judiciales firmes en conexión con la observancia de los principios de seguridad jurídica e irretroactividad (art. 9.3 CE); a la libertad personal (art. 17.1 CE); y si ha infringido los principios de reeducación y reinserción social de las penas (art. 25.2 CE), con los argumentos que han sido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las razones reseñadas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del derecho a la tutela judicial efectiva (art. 24.1 CE) en su vertiente de intangibilidad de las resoluciones judiciales firmes se denuncia la cuestión de fondo, esto es, la aplicación al presente caso de un nuevo criterio jurisprudencial en la interpretación de los arts. 70.2 y 100 del Código penal (CP) de 1973 en relación con el cómputo de la redención de penas por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4). Un cambio de doctrina cuya aplicación al presente caso por la Audiencia Nacional implica que, si bien conforme al cómputo de las redenciones de penas por trabajo usado hasta ese momento el recurrente vería que las reducciones correspondientes al trabajo se aplicarían al límite máximo de treinta años, en aplicación del nuevo criterio se restarían de la suma total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de ello se deriva la vulneración del derecho a la libertad (art. 17.1 CE) y del derecho a la tutela judicial efectiva (art. 24.1 CE), en relación con los principios de seguridad jurídica e irretroactividad, a la vista de lo cual, hemos de comenzar precisando cuáles son los derechos fundamentales en juego y cuál ha de ser nuestro parámetro de enjuiciamiento en esta materia. No obstante, con carácter previo, conviene aclarar que no es objeto del presente recurso de amparo la Sentencia 197/2006, de 28 de febrero, dictada por la Sala Segunda del Tribunal Supremo, sino que nuestro examen se ha de limitar a la consideración de la respuesta judicial que para el caso concreto se contiene en las resoluciones recurridas, en las que se acuerda la aplicación del criterio de cómputo de las redenciones establecido con carácter previo por la citada STS 197/1996.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CP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Dado que en el presente procedimiento no se impugna la Sentencia del Tribunal Supremo de 28 de febrero de 2006 ni cabe entrar a examinar si ésta se ha apartado o no de sus precedentes vulnerando el art. 14 CE. Y por lo que respecta a las resoluciones impugnadas, se limitan a aplicar la doctrina sentada en aquella Sentencia del Tribunal Supremo, máximo intérprete de la ley, justificando el cambio de criterio en el cómputo de las redenciones de penas por el trabajo, frente a otros supuestos resueltos con anterioridad, precisamente en la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europeo para la protección de los derechos humanos y de las libertades fundamentales,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que se impugnan en el presente procedimiento de amparo vulneró su derecho a la tutela judicial efectiva (art. 24.1 CE) y como consecuencia de ello su derecho a la libertad (art. 17.1 CE), lo que —según se argumenta en los motivos de amparo primero y segundo— habría sucedido al aplicar un nuevo criterio de cómputo de la redención de penas por el trabajo que ignora la existencia de una legítima expectativa, fundada en el criterio que se venía siguiendo de forma unánime por los Tribunales y en una resolución judicial firme e intangible, de que las reducciones correspondientes al trabajo se aplicarían al límite máximo de treinta años y no a la suma total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(SSTC 15/2006, de 16 de enero, FJ 6; ) o sobre los que, aun no constituyendo el objeto mismo del proceso, resultan determinantes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 El recurrente, integrante del comando “Donosti” (1981) de la organización terrorista ETA, resultó ejecutoriamente condenado por Sentencia de la Audiencia Nacional núm. 22/1996, de 24 de abril (sumario 1-81 del Juzgado Central de Instrucción núm. 5), como autor de dos delitos de asesinato con alevosía, uno consumado y otro en grado de frustración concurriendo la circunstancia agravante de premeditación, a las penas de veintiséis años de reclusión mayor y dieciséis años de reclusión respectivamente. De igual manera, mediante Sentencia de la Audiencia Nacional núm. 37/1995, de 23 de junio (sumario 184-81 del Juzgado Central de Instrucción núm. 4), fue condenado como autor de un delito de asesinato con alevosía y premeditación a la pena de veintiocho años de reclusión mayor, a la pena de cuatro años de prisión por un delito de utilización ilegítima de vehículo de motor ajeno con empleo de intimidación, y a la pena de tres meses de arresto mayor por un delito de coacciones.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28 de enero de 1998 de la Sección Tercera de la Sala de lo Penal de la Audiencia Nacional (expediente refundición núm. 6-1998) se acordó acumular las condenas impuestas al actor, “fijándose en una duración de treinta años de privación de libertad el tiempo total de cumplimiento de todas las penas privativas de libertad impuestas en las causas expresadas”, resolución que devino firme y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septiembre de 2009 el Director del centro penitenciario de Burgos, elevó propuesta de licenciamiento definitivo en la que, con mención de los días de prisión preventiva y de redenciones ordinaria y extraordinaria, concluía que la fecha de extinción con redención pudiera ser el 26 de noviembre de 2009, si bien señalaba como fecha de extinción sin redención el 9 de mayo de 2022, significando que “el citado penado puede (sic) estar incluido dentro de los criterios de la Sentencia del Tribunal Supremo de 28/02/2006 (doctrina Parot), dejando a su superior criterio si procede adoptar esta nueva doctrina”. Posteriormente, tras interesarlo la Audiencia Nacional en escrito de 22 de octubre de 2009, el Director del centro penitenciario de Burgos elevó nueva propuesta de licenciamiento definitivo con fecha 26 de octubre de 2009 en la que se fija la extinción de condena sin redención para el día 9 de mayo de 2022. De esta manera, mediante providencia de 18 de noviembre de 2009, la Sección Tercera de la Sala de lo Penal de la Audiencia Nacional se aprobó el licenciamiento definitivo del penado para el día 9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interpuso recurso de súplica contra la anterior providencia, al estimar que infringía su derecho a la tutela judicial efectiva en relación con los principios de seguridad jurídica, irretroactividad de las normas e intangibilidad de las resoluciones judiciales firmes, así como de su derecho a la libertad. En Auto de 16 de diciembre de 2009 la Sección Tercera de la Sala de lo Penal de la Audiencia Nacional desestimó el recurso por cuanto “la interpretación de las normas efectuada por la parte no puede primar sobre la interpretación que de las mismas efectúa la jurisprudencia del Tribunal Supremo, y que es la que esta Sala ha aplicado”. Contra el referido Auto se anunció por la representación de la recurrente recurso de casación (art. 988 de la Ley de enjuiciamiento criminal), por infracción de precepto constitucional (arts. 9.3, 17.1, 24.1 y 25. 2 CE) y legal (arts. 70.2 y 100 CP 1973). Mediante Auto de 23 de febrero de 2010 se tuvo por preparado el recurso de casación, si bien el Auto del Tribunal Supremo (Sala de lo Penal) de 8 de julio de 2010 acordó no haber lugar a la 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ninguna de las resoluciones judiciales a las que se refiere el recurrente puede derivarse, en el presente caso, el efecto de intangibilidad respecto al criterio de cómputo de las redenciones pretendido. En concreto, el Auto de 28 de enero de 1998 que acordó la acumulación de las penas impuestas por ambas Sentencias “fijándose en una duración de treinta años de privación de libertad el tiempo total de cumplimiento de todas las penas privativas de libertad impuestas en las causas expresadas”, no dejó sin efecto las redenciones, ni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Luis María Lizarralde Izaguirre.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7325-2010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STC 40/2012, de 29 de marzo,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