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134</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19 de junio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3134-2006, planteado por el Consejo de Gobierno de la Junta de Andalucía contra el Real Decreto 1336/2005, de 11 de noviembre, por el que se autoriza a la Organización Nacional de Ciegos Españoles (ONCE) una lotería instantánea o presorteada. Ha formulado alegaciones el Abogado del Estado. Ha sido Ponente el Magistrado don Javier Delgado Barrio,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21 de marzo de 2006 tuvo entrada en el Registro General de este Tribunal Constitucional escrito de la Letrada de la Junta de Andalucía por el que, en la representación que ostenta, interpone conflicto positivo de competencia, en relación con los artículos 1, 2, 3 y 4 del Real Decreto 1336/2005, de 11 de noviembre, por el que se autoriza a la Organización Nacional de Ciegos Españoles (ONCE) una lotería instantánea o presorteada.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promoción, tras señalar que el requerimiento formulado fue rechazado por Acuerdo del Consejo de Ministros de 17 de febrero de 2006, invoca la competencia exclusiva que, conforme a lo establecido en el art. 13.33 del Estatuto de Autonomía aprobado por Ley Orgánica 6/1981, de 30 de diciembre, corresponde a la Comunidad Autónoma en materia de “casinos, juegos y apuestas, con exclusión de las apuestas mutuas deportivo-benéficas”, competencia que, según lo señalado en la STC 163/1994, de 26 de mayo, incluiría la organización y autorización de juegos en el territorio de la Comunidad Autónoma, rechazando que pueda producirse un trasvase competencial en materia de juego y apuestas al Estado a partir del art. 149.1.14 CE y so pretexto de la existencia de un beneficio de interés general y de ámbito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la Letrada de la Junta de Andalucía que la lotería instantánea o presorteada que regula el decreto impugnado plantea un caso distinto de los abordados y resueltos por las SSTC 163/1994, de 26 de mayo, y 171/1998, de 23 de julio, pues se trata de una nueva lotería que nada tiene que ver ni con la Lotería Nacional, ni con el “cupón pro-ciegos”. A diferencia de las anteriores, la nueva lotería no tiene cabida en el título competencial del art. 149.1.14 CE pues no existe ese pretendido beneficio del interés general y de ámbito nacional que invoca el acuerdo del Consejo de Ministros según el cual “el título estatutario y el previsto en el art. 149.1.14 CE habilitan tanto a la Comunidad Autónoma de Andalucía como al Estado para organizar juegos o loterías, en el primer caso, dentro de su ámbito territorial y, en el segundo, en beneficio del interés general y de ámbito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Discute, en primer lugar, que el ingreso o resultado económico de la explotación del juego sea competencia del Estado bien porque se integra como ingreso público y parte del monopolio fiscal, bien porque afecta al ámbito del monopolio, razones en las que se sustentan las SSTC 163/1994, de 26 de mayo y 171/1998, de 23 de julio, respectivamente. Considera, haciendo suyos los argumentos de los Votos particulares de dichas Sentencias, que la atribución constitucional de competencias no debe atender al resultado del ejercicio material sino a la actividad en si misma considerada y que ni la potestad de gasto, ni la potestad de ingresos pueden convertirse en títulos competenciales.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la Junta de Andalucía que el concepto de “hacienda general” del que parten las citadas Sentencias ha sido superado en la doctrina constitucional lo que conduce a un concepto nuevo identificado con el de la “hacienda pública estatal” interconectado con los principios de coordinación (art. 156 CE), autonomía financiera de las Comunidades Autónomas (art. 157 CE) y suficiencia financiera de las Entidades locales (art. 142 CE). Dicho concepto sería, en su opinión, el desarrollado por la STC 233/1999, de 16 de diciembre, de la cual derivaría que para que el Estado pueda invocar frente a los específicos títulos competenciales autonómicos la competencia general que deriva del art. 149.1.14 CE es precisa la existencia de títulos legitimadores de su ejercicio, esto es, el principio de coordinación, o el principio de autonomía financiera de las Comunidades Autónomas para el ejercicio de sus competencias. Y prueba de ello es que si la competencia de hacienda general amparara al Estado, la aprobación del real decreto impugnado hubiera requerido el pronunciamiento del Consejo de Política Fiscal y Financiera, o la modificación de la Ley Orgánica de financiación de las Comunidades Autónomas, lo que en este caso no ha ocurrido.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considera, con cita de los Votos particulares antes mencionados, que ni siquiera es posible aducir la titularidad de un ingreso pues los procedentes de la lotería instantánea o presorteada corresponderían a un ente ajeno al Estado, cual es la ONCE, sin que sea argumento suficiente el que una corporación de Derecho público con fines de interés público se mantenga a partir de ingresos procedentes del juego para que pueda excluirse la competencia autonómica en esta materia, lo que pone de manifiesto lo contradictorio del argumento pues si la competencia estatal se justifica en cuanto “ingreso” de la Hacienda, el “no ingreso” no puede ser al mismo tiempo legitimador de la competencia debatida.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atinente a la atribución competencial al Estado sobre la base de la supraterritorialidad del fenómeno, invoca la representante de la Junta de Andalucía la doctrina contenida en la STC 102/1995, de 26 de junio, según la cual dicha supraterritorialidad no constituye ni configura título competencial alguno per se, y aduce la existencia de mecanismos de coordinación y cooperación que permitan compartimentar el fenómeno del juego, máxime cuando a dicha característica debe yuxtaponerse el interés supracomunitario que determinadas materias comportan por sí mismas, interés que la letrada autonómica niega en el presente supuesto, sin que valga la mera invocación por el Estado del interés general para que ello constituya un criterio válido de delimitación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estas consideraciones generales, la Letrada de la Junta de Andalucía pasa a analizar los cuatro artículos controvertidos. En cuanto al art.1, como quiera que autoriza a la ONCE para la comercialización de este tipo de lotería y establece su contenido, estaría articulando una especie de “servicio público” que no sería el juego sino el fin social al que sirve la ONCE, lo que entraría de lleno en el campo de la asistencia social. Si el mecanismo de la “repercusión directa o indirecta” o “afectación al ámbito del monopolio” es válido en orden a establecer la competencia del Estado ex art. 149.1.14 CE, podrá convenirse que tal criterio de imputación competencial también ha de ser válido para reconocer dicha actuación como propia de la competencia autonómica en materia de asistencia social. Estos mismos reproches se extienden al art. 2 en cuanto prevé el destino de los ingresos obtenidos con la explotación de la lotería a favor de la ONCE, siendo así que la determinación de la forma por la que puede nutrirse de ingresos una corporación de base asociativa incide directamente en la política de asistencia social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art. 3 que fija las condiciones básicas y de gestión de la lotería instantánea atribuyendo a la ONCE la organización, dirección y explotación e, incluso, a su consejo general la libertad para adoptar decisiones comerciales, sostiene que afirmar que la competencia es del Estado porque afecta a la hacienda general supone una interpretación tan extensiva que, aplicada a otros títulos competenciales, desdibujaría el sistema constitucional de distribución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art. 4, precepto que encomienda el control de la gestión de la lotería instantánea al consejo de protectorado de la ONCE, considera que se trata de actividades privadas que cumplen fines sociales que se insertan por su finalidad en el ámbito autonómico y que desarrollan actividades de competencia autonómica, que sólo se relacionan de modo mediato con la hacienda del Estado en su sentido más estricto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el escrito denunciando la conculcación por parte del Estado del principio de lealtad institucional, al haber obviado el real decreto impugnado todo parecer de las Comunidades Autónomas al respecto, sin intervención alguna en el procedimiento de elaboración de la citada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mediante providencia de la Sección Primera de 25 de abril de 2006, admitió a trámite el conflicto positivo de competencia planteado por la Junta de Andalucía, acordando dar traslado de las actuaciones al Gobierno de la Nación, por conducto de su Presidente, al objeto de que, en el plazo de veinte días y bajo la representación procesal que señala el art. 82.2 de la Ley Orgánica del Tribunal Constitucional (LOTC), pudiera personarse en los autos y aportar cuantos documentos y alegaciones considerase convenientes. Se acordó asimismo comunicar la incoación del conflicto a la Sala Tercera del Tribunal Supremo, para el caso de encontrarse impugnado o se impugnare el referido real decreto, en cuyo caso se suspendería el curso del proceso hasta la decisión del conflicto. Igualmente, la citada providencia acordó la publicación de la incoación del conflicto en el “Boletín Oficial del Estado” y en el “Boletín Oficial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30 de mayo de 2006, fue registrado de entrada escrito del Abogado del Estado en el que solicita la desestimación de la demanda, con consecuente declaración de competencia favorable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y tras transcribir la exposición de motivos y disposición derogatoria única del real decreto controvertido detalla la doctrina constitucional recogida, por todas, en la STC 171/1998, de 23 de julio, basada en la limitación territorial de las competencias autonómicas, la existencia de atribuciones estatales ligadas con el juego en general, el monopolio fiscal como manifestación del poder financiero del Estado y la intelección amplia del título hacienda general, más allá de los ingresos estrictamente tributarios. En suma, la competencia estatal del artículo 149.1.14 CE trasciende, para el Abogado del Estado, la específica denominación de Lotería Nacional, abarcando todo lo que ésta significa como monopolio e institución históricamente definida. Del examen jurisprudencial citado, concluye la defensa del Estado la limitación de la competencia exclusiva autonómica a la organización de juegos y apuestas regionales, y la competencia estatal para establecer apuestas de ámbito nacional que constituyan recurso ordinario de su hacienda y conecten con el monopolio fiscal en virtud del título competencial sobre la hacienda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el Abogado del Estado refutando los argumentos de la demanda. Alega que la STC 233/1999, de 16 diciembre, no sienta un concepto de “hacienda general” como pretende la Letrada autonómica, pues en ella solo se analiza este título desde la perspectiva de la submateria de haciendas locales. Si, como pretende la demanda, la “hacienda general” sólo comprende la coordinación de las haciendas territoriales pero no la materia “hacienda estatal” ésta última quedaría sin ubicación específica. Así pues rechaza que exista un concepto de “hacienda estatal” diferenciado del de hacienda general, y analiza las SSTC 163/1994, y 164/1994, ambas de 26 de mayo, para concluir que el poder financiero estatal le habilita para establecer y gestionar las apuestas y juegos estatales que se configuren como recurso ordinario de su hacienda, más allá de la lotería nacional en su sentido tradicional.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atinente a la remisión, por la demanda autonómica, a los votos particulares para sustentar la competencia de la Junta de Andalucía en la materia, pone de manifiesto el carácter disidente de todo Voto particular pues, en palabras de la Abogacía del Estado, “siendo absolutamente respetables, no lograron convencer a la mayoría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Sale al paso del argumento según el cual no es posible aducir la titularidad del ingreso para justificar la competencia estatal por corresponder a un ente ajeno, la ONCE, recordando que esta entidad es una corporación pública que desarrolla su actividad en todo el territorio español y que los ingresos del juego siguen siendo el medio económico indispensable y esencial para el logro de sus fines y que esta entidad tiene una especial vinculación con el Estado que ha determinado que sea éste el que deba establecer su régimen jurídico. El sorteo regulado en el real decreto impugnado tiene ámbito nacional y vendría a superponerse al de la Lotería en todas sus modalidades debiéndose entender, en consecuencia, dentro de la competencia estatal pues afecta al monopolio como rendimiento ordinario de la hacienda estatal, del mismo modo que otros juegos (STC 216/1994, de 14 de julio). Recuerda que el Tribunal tiene declarado (STC 164/1994, de 26 de mayo, FJ 3) que el denominador común de la lotería lo constituye ser un juego de azar que admite diversas modalidades y de ámbito nacional, características que reúne la lotería presorteada que regula el real decreto impugnado, sin que las diferencias técnicas que puedan existir y los aspectos comunes que puedan presentar con los demás sorteos puedan erigirse en elementos determinantes a efectos competenciales.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finalmente que la supraterritorialidad en cuanto a extensión territorial del juego sea lo que determina la competencia estatal, pues ésta se justifica porque el Estado la ejerce en nombre del interés general, sin perjuicio de que la supraterritorialidad o el carácter nacional del juego se tome en consideración como criterio para apreciar la conexión con el antiguo monopolio, dado el carácter nacional de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19 de junio de 2012 se señaló para deliberación y votación de la presente Sentencia el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conflicto positivo de competencia es promovido por el Consejo de Gobierno de la Junta de Andalucía en relación con los artículos 1, 2, 3 y 4 del Real Decreto 1336/2005, de 11 de noviembre, por el que se autoriza a la Organización Nacional de Ciegos Españoles (ONCE) la explotación de una lotería instantánea o presorteada, y se sustenta en la reivindicación por la citada Comunidad Autónoma de su competencia exclusiva en materia de casinos, juegos y apuestas, con apoyo jurisprudencial en la STC 163/1994, de 26 de mayo y legal, en el art. 13.33 del Estatuto de Autonomía para Andalucía, en relación con el art. 149.3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hemos de analizar los efectos que pueda tener sobre la controversia el hecho de que algunos de los preceptos del Real Decreto 1336/ 2005 hayan sido modificados. En concreto el Real Decreto 1706/2011, de 18 de noviembre, da nueva redacción al art. 2 y a los apartados 3, 4 y 6 del art. 3. Tal y como tenemos reiteradamente señalado, por todas la STC 99/2012, de 8 de mayo, FJ 2 c), en las controversias de alcance competencial es necesario apreciar los efectos que tiene sobre el conflicto la entrada en vigor de nueva normativa reguladora de algunos de los aspectos en discusión, operación que debe realizarse atendiendo en cada caso a las circunstancias concretas y, ante todo, a la pervivencia de la controversia competencial, esto es, a si la disputa sobre la titularidad competencial sigue o no viva entre las partes, de modo que si la normativa en torno a la cual se trabó el conflicto resulta parcialmente modificada por otra que viene a plantear los mismos problemas competenciales la consecuencia necesaria será la no desaparición del conflicto. Esto es, precisamente, lo que ocurre en este caso en que las modificaciones que ha sufrido la norma impugnada afectan únicamente a los conceptos a deducir de los ingresos que deberán ser afectados al cumplimiento de sus fines y a las condiciones en que deben adoptarse las decisiones comerciales por el consejo general de la ONCE, de modo que no tienen trascendencia alguna sobre la cuestión competencial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Asimismo, debemos precisar cuál debe ser el parámetro de control del presente recurso, pues resulta de aplicación nuestra doctrina sobre el ius superveniens, según la cual el control de las normas que incurren en un posible exceso competencial debe hacerse de acuerdo con las normas del bloque de la constitucionalidad vigentes en el momento de dictar Sentencia (STC 83/2012, de 18 de abril, FJ 2). Ello determina que nuestro pronunciamiento deba dictarse a la luz de la delimitación de competencias que deriva de la reforma del Estatuto de autonomía de Andalucía llevada a cabo por la Ley Orgánica 2/2007, de 19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real decreto impugnado, como hemos sostenido recientemente en la STC 32/2012, de 15 de marzo, que resolvió un conflicto positivo de competencia en el que se impugnaba esta misma norma, debe encuadrarse en la materia juego y apuestas. En la Sentencia citada, que a su vez aplica la doctrina establecida en la STC 204/2002, de 31 de octubre, afirmamos que “la materia de juego, a pesar de no ser mencionada en los arts. 148.1 y 149.1 CE y en los Estatutos de Autonomía, ha sido atribuida a las Comunidades Autónomas bajo el uniforme título de ‘casinos, juegos y apuestas con exclusión de las Apuestas Mutuas Deportivo-Benéficas’, en sus respectivos Estatutos. [En consecuencia], de acuerdo con el art. 149.3 CE, y dado que en el art. 149.1 no se reserva expresamente al Estado dicha materia, cabe afirmar que corresponde a las Comunidades Autónomas, de acuerdo con su Estatuto de Autonomía, la competencia exclusiva sobre los casinos, juegos y apuestas, excepto las apuestas mutuas deportivo-benéficas (STC 52/1988, FJ 4), y que la misma comprende la de organizar y autorizar la celebración de juegos en el territorio de la Comunidad Autónoma (SSTC 163/1994, FJ 3; 164/1994, FJ 4), precisamente en dicho territorio; pero no, evidentemente, la de cualquier juego en todo el territorio nacional, puesto que los Estatutos de Autonomía limitan al territorio de la Comunidad el ámbito en el que ha de desenvolver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ahí que la STC 32/2012, de 15 de marzo, FJ 3, afirmara también que “ni el silencio del art. 149.1 CE respecto al género juego, ni el hecho de que los Estatutos de Autonomía califiquen de exclusiva la competencia autonómica en cuanto a juegos y apuestas, puede interpretarse como determinante de un total desapoderamiento del Estado en la materia, pues ciertas actividades que bajo otros enunciados el art. 149.1 CE atribuye a aquél, se encuentran estrechamente ligadas con el juego en general y no sólo la que le reserva el art. 149.1.14 de la Constitución respecto de la gestión y explotación en todo el territorio nacional del monopolio de la lotería nacional, sin perjuicio de las competencias de algunas Comunidades Autónomas en materia de juego (SSTC 163/1994, de 26 de mayo, FJ 4; 164/1994, de 26 de mayo, FJ 5; 216/1994, de 20 de julio, FJ 2; y 49/1995, de 16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81.1 del Estatuto de Autonomía de Andalucía (Ley Orgánica 2/2007, de 19 de marzo) establece que “[c]orresponde a la Comunidad Autónoma la competencia exclusiva en materia de juegos, apuestas y casinos, incluidas las modalidades por medios informáticos y telemáticos, cuando la actividad se desarrolle exclusivamente en Andalucía”, y el apartado segundo de este precepto estatutario añade que “[l]a autorización de nuevas modalidades de juego y apuestas de ámbito estatal, o bien la modificación de las existentes, requiere la deliberación en la Comisión Bilateral Junta de Andalucía-Estado prevista en el Título IX y el informe previo de la Junta de Andalucía”, por lo que, como señalamos en la STC 32/2012, de 15 de marzo, FJ 3, está reconociendo la existencia de modalidades y apuestas de ámbito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debe indicarse que, en contra de lo que sostiene la Junta de Andalucía, la norma recurrida no puede encuadrarse en la materia de asistencia social, pues los preceptos impugnados “no pretenden ni ordenar ni disponer regla alguna sobre las actividades de asistencia o protección social encomendadas y dispensadas”, tal y como afirmamos en la STC 171/1998, de 23 de julio, FJ 3, en la que también resolvíamos un conflicto de competencia en materia de juego y apuestas, y en el que también una de las partes pretendía fundamentar su competencia en el título competencial relativo a la asistencia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Resulta, por tanto, que como declaramos en la STC 32/20012, de 15 de marzo, FJ 4, en un supuesto análogo, “la competencia exclusiva autonómica comprende los supuestos de juegos que se desarrollen exclusivamente en Andalucía. Y este no es desde luego el caso del citado real decreto que justo comienza por precisar (art. 1) que la modalidad de lotería que establece es de ámbito nacional, lo que determina la competencia estatal sobre la misma”. De ahí que la citada STC 32/2012, de 15 de marzo, FJ 8 declarase que “no hay duda de que el Real Decreto 1336/2005 impugnado no menoscaba ni invade la competencia autonómica en materia de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Procedente será por consecuencia la desestimación del presente conflicto.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conflicto positivo de competencia.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junio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