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2012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junio de 2012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1. Por la Procuradora doña Victoria Pérez-Mulet y Díez Picazo en nombre del Excmo. Ayuntamiento de Castello de la Ribera, se presentó recurso de amparo el día 4 de septiembre de 2009, que se registró con el número 7432-2009.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2. Admitido el recurso a trámite por resolución de 13 de febrero de 2012, el día 15 de marzo de 2012, por la misma Procuradora señora Pérez-Mulet y Díez-Picazo, se presentó escrito desistiendo del recurso planteado.</w:t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/>
      </w:r>
    </w:p>
    <w:p w:rsidRPr="00C21FFE" w:rsidR="00AD51A7" w:rsidRDefault="008777C4">
      <w:pPr>
        <w:rPr/>
      </w:pPr>
      <w:r w:rsidRPr="&lt;w:rPr xmlns:w=&quot;http://schemas.openxmlformats.org/wordprocessingml/2006/main&quot;&gt;&lt;w:lang w:val=&quot;es-ES_tradnl&quot; /&gt;&lt;/w:rPr&gt;">
        <w:rPr/>
        <w:t xml:space="preserve">3. Se acordó, por diligencias de ordenación de fecha 21 de marzo y 9 de mayo de 2012, dar traslado al Ministerio Fiscal y resto de partes personadas para alegaciones sobre el desistimiento pretendido. Transcurrido el plazo, todas las partes personadas formularon alegaciones por escritos de 17 y 23 de mayo último, en el sentido de no oponerse al desistimiento.</w:t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>1. Único. El desistimiento es una forma de terminación del procedimiento prevista en los arts. 80 y 86 de nuestra Ley Orgánica, que se remite en el primero de dichos preceptos, en cuanto a requisitos y procedimiento, a lo establecido en la Ley Orgánica del Poder Judicial y en la Ley de enjuiciamiento civil. Cumplidos estos requisitos en el presente caso, y no oponiendo objeción alguna el Ministerio Fiscal a la voluntad de desistir manifestada por el recurrente, dado el carácter rogado que, en principio, tiene la jurisdicción de amparo constitucional [arts. 161.1 b) CE y 41.3 de la Ley Orgánica del Tribunal Constitucional, procede acceder al desistimiento solicitado.</w:t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>Por todo lo expuesto, la Sala</w:t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>Tener por desistido y apartado de la prosecución del presente recurso al Excmo. Ayuntamiento de Castello de la Ribera acordándose el archivo de las actuaciones.</w:t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>Madrid, a cuatro de junio de dos mil doce.</w:t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