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124</w:t>
      </w:r>
      <w:r w:rsidRPr="008B7AB5" w:rsidR="008B7AB5">
        <w:rPr>
          <w:b/>
          <w:szCs w:val="24"/>
          <w:lang w:val="es-ES_tradnl"/>
        </w:rPr>
        <w:t>/</w:t>
      </w:r>
      <w:r>
        <w:rPr xmlns:w="http://schemas.openxmlformats.org/wordprocessingml/2006/main">
          <w:b/>
          <w:szCs w:val="24"/>
        </w:rPr>
        <w:t>2012</w:t>
      </w:r>
      <w:r w:rsidRPr="008B7AB5" w:rsidR="008B7AB5">
        <w:rPr>
          <w:b/>
        </w:rPr>
        <w:t xml:space="preserve">, </w:t>
      </w:r>
      <w:r>
        <w:rPr xmlns:w="http://schemas.openxmlformats.org/wordprocessingml/2006/main">
          <w:b/>
          <w:szCs w:val="24"/>
        </w:rPr>
        <w:t>de 18 de junio de 2012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15 de diciembre de 2011 tuvo entrada en este Tribunal escrito de la Procuradora de los Tribunales, doña Aurora Gutiérrez Martín, actuando en nombre y representación de doña Ana Fernández Martín, mediante el que interpuso recurso de amparo contra la Sentencia 279/2011, de 18 de noviembre, dictada por el Juzgado de lo Contencioso-Administrativo núm. 1 de Madrid, desestimatoria del recurso contencioso-administrativo núm. 861-2009 interpuesto contra la resolución sancionadora del Director General de Movilidad del Ayuntamiento de Madrid de 16 de julio de 2009 por la que se le imponía una multa de 301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alega en su demanda que la resolución impugnada vulnera el derecho a la legalidad sancionadora (art. 25.1 CE) porque cumplió en todo momento con su obligación de identificar al conductor de forma suficiente y precisa para que el Ayuntamiento pudiera dirigir contra él el procedimiento sancionador. Invoca asimismo la vulneración del derecho a la presunción de inocencia (art. 24.2 CE) que sólo podría verse, en su opinión, enervado por una conducta evasiva o reticente del propietario del vehículo que entiende no ha concurrido en este caso. Finalmente, pone de manifiesto la vulneración del derecho a la igualdad en la aplicación de la ley (art. 14 CE) ya que la Sentencia se habría pronunciado en sentido distinto a las diferentes Sentencias del Tribunal Constitucional en esta materia citando, en concreto, la STC de 12 de julio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la recurrente en amparo solicita se acuerde la suspensión de la ejecución del acto administrativo y de la Sentencia impugnada conforme a lo dispuesto en el art. 56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19 de abril de 2012, la Sala Segunda de este Tribunal acordó admitir a trámite la demanda de amparo, y ordenar que se formase la presente pieza separada de suspensión concediendo a la demandante y al Ministerio Fiscal, conforme a lo dispuesto en el art. 56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en este Tribunal el 11 de mayo de 2012 evacuó el trámite de alegaciones. Recuerda con carácter preliminar la doctrina constitucional, indicando que la suspensión es una medida excepcional de aplicación restrictiva siendo la regla general la no suspensión salvo que la ejecución de la Sentencia recurrida ocasione un perjuicio irreparable, real y efectivo que pudiera hacer perder al recurso su finalidad; es decir, cuando el restablecimiento del recurrente en el derecho constitucional vulnerado sea tardío e inefectivo. Esta decisión exige una ponderación de los intereses generales y los derechos fundamentales de terceros y del interés particular del demandante de amparo que alega, a su vez, la vulneración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entiende el Ministerio Fiscal que la demandante de amparo no ha acreditado el perjuicio que habría de sufrir en el caso de que se procediera a la ejecución del acto administrativo impugnado, razón por la que la petición debe ser desestimada y añade que por ser la resolución impugnada una multa de 301,00 euros resulta de aplicación la doctrina general de que los pronunciamientos de efectos meramente patrimoniales, por su contenido económico, no causan, en principio, perjuicios de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demandante de amparo no presentó alegaciones en el plazo conferido al efecto por la providencia de la Sala Segunda de 19 de abril de 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de la Ley Orgánica del Tribunal Constitucional (LOTC), “la interposición del recurso de amparo no suspenderá los efectos del acto o sentencia impugnados”. Este primer apartado ha de conectarse con lo previsto en los demás apartados del citado art. 56 LOTC, particularmente con el segundo que fija: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Este Tribunal ha declarado (por todos, ATC 16/2012, de 30 de enero, FJ 1)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de 25 de mayo,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adopción de esta medida cautelar sólo resulta pertinente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este Tribunal ha establecido el criterio de que la ejecución de las resoluciones judiciales cuyos efectos son fundamentalmente patrimoniales o de contenido económico, ni causa un perjuicio irreparable al obligado al pago, ni puede hacer perder al amparo su finalidad, al ser posible la restitución íntegra de lo ejecutado (por todos, ATC 1/2011, de 14 de febrero, FJ 3; y ATC 16/2012, de 30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tal y como señala el Ministerio Fiscal, la demandante de amparo ni alega ni acredita los perjuicios irreparables que la ejecución del acto administrativo impugnado, una multa de 301 euros, podría ocasionarle, pues se limita en su petición de suspensión a remitirse a lo establecido en el art. 56 LOTC sin que, posteriormente, en el plazo concedido al efecto presentara alegaciones. Así pues, debemos entender que el perjuicio que ocasiona la ejecución de la resolución sancionadora es única y exclusivamente económico resultando por ello de aplicación la doctrina expuesta en el fundamento jurídico anterior en cuanto que la ejecución del acto administrativo cuya legalidad fue confirmada por la Sentencia recurrida en amparo no impediría la restauración efectiva de los derechos fundamentales que la demandante estima conculcados al ser posible la restitución íntegra de lo ejecutado, razón por la cual debemos denegar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dos mil doce.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