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16 de julio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4017-2009, promovido por don Ignacio Pujana Alberdi, representado por el Procurador de los Tribunales don Javier Cuevas Rivas y asistido por el Abogado don Iker Urbina Fernández, contra la providencia de 16 de febrero de 2009 de la Sección Tercera de la Sala de lo Penal de la Audiencia Nacional, dictada en la ejecutoria núm. 32-1993, por la que se acuerda fijar como fecha de licenciamiento definitivo del recurrente el día 28 de junio de 2021, y contra el Auto de 17 de marzo de 2009 que desestima el recurso de súplica interpuesto frente a dicha providencia.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abril de 2009, el Procurador de los Tribunales don Javier Cuevas Rivas, en nombre y representación de don Ignacio Pujana Alberdi, y bajo la dirección del Letrado don Iker Urbina Fernández,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por Sentencia firme de 24 de marzo de 1993 de la Sección Tercera de la Sala de lo Penal de la Audiencia Nacional (rollo de Sala núm. 24-1984, sumario núm. 24-1984 del Juzgado Central de Instrucción núm. 4), a varias penas de privación de libertad que sumaban en total setenta y nueve años, con el límite máximo de treinta años de cumplimiento efectivo establecido en el art. 70, regla segunda, del Código penal de 1973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la misma Sala y Sección de la Audiencia Nacional de 6 de noviembre de 1996 se acordó que no procedía conforme al nuevo Código penal de 1995 (CP 1995) revisar las penas impuestas al recurrente por la Sentencia de 24 de marzo de 1993, toda vez que la pena cumplida con los beneficios penitenciarios previstos en el art. 100 CP 1973 equivale en términos de cumplimiento real a una pena posible de imponer según el nuevo Código penal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14 de enero de 2009, el centro penitenciario en el que se encontraba interno el recurrente elevó a la Sala propuesta de liquidación de condena, en la que se incluye el cálculo de redenciones obtenidas, fijándose como fecha de licenciamiento definitivo el 28 de junio de 2021, si se aplica el criterio sentado por la Sentencia de la Sala de lo Penal del Tribunal Supremo núm. 197/2006, de 28 de febrero; o bien el 23 de febrero de 2009, si se aplica el criterio anterior a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 16 de febrero de 2009 la Sección Tercera de la Sala de lo Penal de la Audiencia Nacional acordó, a la vista de la propuesta formulada por el centro penitenciario, que, de conformidad con el criterio establecido por la Sentencia de la Sala de lo Penal del Tribunal Supremo núm. 197/2006, de 28 de febrero, el licenciamiento definitivo del penado deberá tener lugar el 28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la anterior providencia interpuso el demandante de amparo recurso de súplica, invocando la lesión de derecho a la tutela judicial efectiva en la vertiente de intangibilidad de las resoluciones judiciales firmes (art. 24.1 CE), en relación con el derecho a la libertad (art. 17.1 CE) y el principio de legalidad penal, en cuanto proscribe la retroactividad de las normas penales desfavorables (art. 25.1 CE); asimismo la vulneración del derecho a la igualdad en la aplicación de la ley (art. 14 CE), también en relación con el derecho a la libertad (art. 17.1 CE) y la vulneración de los derechos a la defensa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súplica fue desestimado por Auto de 17 de marzo de 2009 de la misma Sala y Sección, en el que se rechaza que la aplicación al caso del criterio sentado por la citada Sentencia de la Sala de lo Penal del Tribunal Supremo núm. 197/2006 haya ocasionado vulneración alguna de los derechos fundamentales invocados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la providencia de 16 de febrero de 2009 y el Auto de 17 de marzo de 2009 que la confirma se interpone el presente recurso de amparo. Con posterioridad a su interposición, la Sección Tercera de la Sala de lo Penal de la Audiencia Nacional acordó por providencia de 5 de junio de 2009 (rectificando otra anterior de 30 de abril de 2009) aprobar como nueva fecha de licenciamiento definitivo del recurrente en amparo el 22 de febrero de 2018, al abonarle el periodo de prisión sufrido en Francia (desde el 2 de marzo de 1988 al 7 de octubre de 1991) como consecuencia del proceso de extradición instado por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Después de justificar la especial trascendencia constitucional del recurso en la necesidad de un pronunciamiento sobre la doctrina de la Sala de lo Penal del Tribunal Supremo núm. 197/2006, de 28 febrero (“doctrina Parot”), porque supone un cambio radical respecto de la jurisprudencia precedente, al computar la redención de penas por el trabajo no sobre el máximo efectivo de cumplimiento de treinta años de las penas acumuladas sino sobre cada una de las penas impuestas (argumentación que se amplía mediante escrito presentado por la representación procesal del recurrente en el Registro General de este Tribunal con fecha 9 de abril de 2010), el recurrente fundamenta su demanda de amparo en los siete motivos o quejas que a continuación se señalan.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 motivo de amparo denuncia el recurrente la vulneración del derecho a la tutela judicial efectiva en la vertiente de intangibilidad de las resoluciones judiciales firmes (art. 24.1 CE), en relación con el derecho a la libertad (art. 17.1 CE). Sostiene el recurrente que el nuevo criterio sobre el cómputo de las redenciones sobre la totalidad de la condena que realiza la Sala de lo Penal del Tribunal Supremo en su Sentencia núm. 197/2006, aplicado a su caso por la Audiencia Nacional en las resoluciones impugnadas en amparo, supone desconocer lo resuelto con carácter firme en el Auto de 6 de noviembre de 1996, en el que el Tribunal sentenciador determinó que el cumplimiento de la condena debía serlo conforme al Código penal de 1973, por ser más favorable que el Código penal de 1995. De este modo, la aplicación de las redenciones penas por el trabajo al límite máximo de cumplimiento de treinta años determina un importante acortamiento de su condena, que no puede ser alterado en su perjuicio, retrasando la fecha de puesta en libertad, por la aplicación de un nuevo criterio jurisprudencial desfavorable al penado que atenta contra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motivos de amparo segundo, cuarto y quinto se aduce la vulneración del principio de legalidad penal (art. 25.1 CE, en conexión con el art. 9.3 CE), por la interpretación realizada por la Audiencia Nacional de los arts. 70.2 y 100 CP 1973 y el art. 988 de la Ley de enjuiciamiento criminal (LECrim), así como de los arts. 66 del Reglamento de prisiones de 1956 y del art. 202 del Reglamento penitenciario actual, en relación con el derecho a la libertad (art. 17.1 CE). Según el recurrente, la interpretación sentada por la Sala de lo Penal del Tribunal Supremo en su Sentencia núm. 197/2006 y aplicada en el presente caso por la Audiencia Nacional en las resoluciones judiciales impugnadas, es ajena al tenor literal de dichas normas, a las pautas axiológicas que conforman el ordenamiento constitucional y a los modelos de argumentación aceptados por la comunidad jurídica, y quiebra la interpretación jurisprudencial realizada al respecto a lo largo de toda la historia penitenciaria (conforme a la cual la redención de penas por el trabajo se abonaba al tiempo efectivo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motivo se alega la vulneración del derecho a la igualdad en la aplicación de la ley (art. 14 CE), en relación con el art. 14 del Convenio europeo para la protección de los derechos humanos y las libertades fundamentales (CEDH), y con el derecho a la libertad (art. 17.1 CE), porque las resoluciones judiciales impugnadas incurren en un injustificado y arbitrario cambio de criterio al aplicar la Sentencia de la Sala de lo Penal del Tribunal Supremo núm. 197/2006, que se aparta de forma arbitraria e irrazonable de su consolidado criterio jurisprudencial precedente sobre el cómputo de la redención de penas por el trabajo, en un momento en que el Código penal de 1973 ya está derogado y resulta aplicable a un número muy limitado de internos, sin que existan razones que justifiquen dicho cambio de criterio. Se afirma que se trata de cambio de criterio ad personam, constitucionalmente vedado, del que resulta que al recurrente se le deniega de manera discriminatoria lo que a otros muchos presos se les concedió 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sexto motivo de amparo se denuncia la vulneración del derecho a la tutela judicial efectiva sin indefensión (art. 24.1 CE) y de los derechos a la defensa, a ser informado de la acusación y a un proceso con todas las garantías (art. 24.2 CE), así como de los derechos reconocidos por los arts. 6 y 13 CEDH y por el art. 14.1 y 5 del Pacto internacional de derechos civiles y políticos (PIDCP), todo ello en relación con el derecho a la libertad (art. 17.1 CE). Sostiene el recurrente que la Audiencia Nacional acordó en las resoluciones impugnadas la aplicación de la nueva doctrina de la Sala de lo Penal del Tribunal Supremo sentada en la Sentencia núm. 197/2006, que establece un nuevo criterio en cuanto al cómputo de las redenciones por trabajo que empeora la situación del reo y obliga al cumplimiento íntegro de la condena de treinta años, decisión de la que el recurrente no ha podido defenderse ni someterla a contradicción. Entiende además que ello vulnera el principio acusatorio, porque el órgano judicial asume funciones acusatorias constitucionalmente vedadas que comprometen su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alega la vulneración del derecho a la libertad (art. 17.1 CE), en relación con los arts. 5 y 7.1 CEDH y los arts. 9.1 y 5 y 15.1 PIDCP, así como en conexión con el principio de orientación de las penas privativas de libertad a la reeducación y reinserción social (art. 25.2 CE). Tras resaltar que, conforme a la doctrina constitucional, la redención de penas por el trabajo afecta al derecho a la libertad personal, sostiene el recurrente, con cita del Voto particular a la Sentencia de la Sala de lo Penal del Tribunal Supremo núm. 197/2006, que el cambio de criterio jurisprudencial que dicha Sentencia introduce, y que ha sido aplicado en su caso por las resoluciones judiciales impugnadas, modifica su expectativa de libertad, implicando un alargamiento de su estancia en prisión hasta el cumplimiento de los treinta años íntegros de condena, sin fundamento jurídico alguno y vaciando absolutamente de contenido la institución de la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interesa el otorgamiento del amparo, solicitando por otrosí en la demanda la suspensión de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marzo de 2012 la Sala Primera de este Tribunal acordó la admisión a trámite de la demanda de amparo y, a tenor de lo dispuesto en el art. 51 de la Ley Orgánica del Tribunal Constitucional (LOTC), requerir atentamente a la Sección Tercera de la Sala de lo Penal de la Audiencia Nacional para que en el plazo de diez días remitiera testimonio de las actuaciones correspondientes a la ejecutoria núm. 32-1993, interesándose al propio tiempo el emplazamiento de quienes fueron parte en el procedimiento, a excepción del demandante de amparo, ya personado, para que pudieran comparecer en el plazo de diez días en el presente proceso constitucional, con traslado a dichos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acordó la formación de pieza separada para la tramitación del incidente sobre la suspensión solicitada y conceder al recurrente y al Ministerio Fiscal un plazo común de tres días para que alegasen lo que estimasen pertinente sobre dicha suspensión. Evacuado dicho trámite de alegaciones la Sala dictó el ATC 89/2012, de 21 de mayo, denegando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Sala Primera de 3 de mayo de 2012 se tuvieron por recibidos los testimonios de las actuaciones remitidos por la Sección Tercera de la Sala de lo Penal de la Audiencia Nacional y se procedió, conforme a lo establecido en el art. 52.1 LOTC, a dar vista de las actuaciones por plazo común de veinte días al Ministerio Fiscal y al demandante de amparo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presentó su escrito de alegaciones en este Tribunal el 28 de mayo de 2012, en el que ratifica las formuladas en la demanda de amparo, añadiendo que, en aplicación de la doctrina sobre un caso, que considera idéntico al suyo, contenida en la reciente STC 57/2012, de 29 de marzo, debe llegarse a la conclusión de que también en su caso se ha producido una vulneración del derecho a la intangibilidad de las resoluciones judiciales firmes, que forma parte del derecho a la tutela judicial efectiva garantizado por el art. 24.1 CE, en relación con el derecho a la libertad (art. 17.1 CE), lo que debe conducir al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en este Tribunal su escrito de alegaciones el 18 de junio de 2012. Considera en primer lugar el Fiscal que en el presente caso, y como ya se apreciara en casos similares al presente en SSTC 58/2012, 60/2012 y 63/2012, de 29 de marzo todas ellas, concurre el óbice de falta de agotamiento de la vía judicial [art. 44.1 a) LOTC, en relación con el art. 50.1 a) LOTC], lo que debe determinar la inadmisión del recurso de amparo. Ello es así por cuanto el demandante de amparo no recurrió en casación, conforme a lo exigido por el art. 988 LECrim, contra el Auto de la Sección Tercera de la Sala de lo Penal de la Audiencia Nacional de 17 de marzo de 2009 que desestimó el recurso de súplica interpuesto contra la providencia de 16 de febrero de 2009, que aprobaba la propuesta de licenciamiento definitivo para el 28 de junio de 2021, cuando resulta que desde el Auto del Tribunal Supremo de 7 de abril de 2008 era conocido que las resoluciones que aprueban las liquidaciones de condena y licenciamientos son recurribles en casación, como se recuerda en la citada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en el que no fuera apreciada la concurrencia de la causa de inadmisión señalada, el Fiscal interesa la denegación del amparo, por entender que las resoluciones impugnadas no infringen los derechos fundamentales invocados por el recurrente, conforme a los razonamientos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rechaza el Fiscal con cita de los razonamientos contenidos en la STC 55/2012, FJ 3, que se haya producido lesión alguna de los derechos fundamentales de naturaleza procesal que se invocan en la demanda de amparo y que esencialmente se centran en pretendida indefensión causada al recurrente por no haberle dado previa audiencia antes de dictar la providencia de 16 de febrero de 2009, que aplicó la doctrina de la Sentencia de la Sala Segunda del Tribunal Supremo núm. 197/2006.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los motivos de la demanda que se refieren a la cuestión de fondo, y que se centran en combatir la aplicación que han hecho las resoluciones impugnadas de la doctrina establecida en la Sentencia de la Sala Segunda del Tribunal Supremo núm. 197/2006, la cual imputa los beneficios penitenciarios a cada una de las condenas impuestas en el mismo o en diferentes procesos y no al límite de cumplimento de treinta años que establecía el art. 70.2 CP 1973, señala el Fiscal que también estas quejas deben ser descartadas, a la vista de la doctrina sentada, entre otras, en las SSTC 48/2012, FFJJ 4, 5 y 6, y 66/2012, FFJJ 5 y 6, que cita literalmente.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Trasladando la anterior doctrina constitucional al presente caso, y en particular por lo que se refiere a la alegada lesión del derecho a la tutela judicial efectiva en la vertiente del derecho de intangibilidad de las resoluciones firmes, señala el Fiscal que el pretendido efecto de intangibilidad en cuanto al criterio de cómputo de las redenciones por trabajo se predica por el recurrente del Auto firme de 6 de noviembre de 1996, que declaró que no procedía la revisión de la condena impuesta en la Sentencia de 24 de marzo de 2003, al considerar que más favorable el Código penal de 1973 que el Código penal de 1995. Ahora bien —continúa el Fiscal— lo cierto es que no es posible considerar que en dicho Auto se contenga una decisión sobre el modo de cómputo de los beneficios penitenciarios de redención de condena del art. 100 CP 1973, pues esta resolución se limita a realizar un análisis comparativo global de las penas señaladas en abstracto por los dos Códigos penales para las conductas por las que el recurrente había sido condenado y se concluye que siendo de aplicación los beneficios de condena del art. 100 CP 1973, las penas impuestas serían también imponibles según el nuevo Código penal de 1995. No se infringe, por ello, el principio de intangibilidad por las resoluciones judiciales impugnadas en amparo, que, acogiendo el criterio establecido en la Sentencia de la Sala Segunda del Tribunal Supremo núm. 197/2006, aprueban el licenciamiento definitivo del recurrente para el 28 de junio de 2021, puesto que tales resoluciones no revisan ninguna situación jurídica establecida en una anterior resolución firme sobre el cómputo y aplicación de los beneficios de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julio de 2012 se acordó señalar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17 de marzo de 2009 de la Sección Tercera de la Sala de lo Penal de la Audiencia Nacional, que desestimó el recurso de súplica presentado contra la anterior providencia de 16 de febrero de 2009 por la que se acordó fijar como fecha para el licenciamiento definitivo del recurrente el día 28 de junio de 2021, de conformidad con el criterio establecido por la Sentencia de la Sala de lo Penal del Tribunal Supremo núm. 197/2006, de 28 de febrero, según la cual, la redención de penas por el trabajo ha de computarse sobre cada una de las penas impuestas y no sobre el límite máximo de cumplimiento efectivo que pudiera haberse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con la argumentación que ha quedado expuesta en los antecedentes de esta resolución, la vulneración de los derechos fundamentales a la tutela judicial efectiva en la vertiente de intangibilidad de las resoluciones judiciales firmes (art. 24.1 CE); a la legalidad penal (art. 25.1 CE en conexión con el art. 9.3 CE); a la defensa, a ser informado de la acusación y a un proceso con todas las garantías (art. 24.2 CE); a la igualdad en la aplicación de la ley (art. 14 CE); así como del principio de orientación de las penas privativas de libertad a la reeducación y reinserción social (art. 25.2 CE); todo ello en relación con el derecho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inadmisión del recurso de amparo por considerar incumplido el requisito del agotamiento de la vía judicial [arts. 44.1 a) y 50.1 a) de la Ley Orgánica del Tribunal Constitucional (LOTC)], y subsidiariamente su desestimación por entender que las resoluciones judiciales impugnadas no han vulnerado los derechos fundamentales invocados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este Tribunal tiene reiteradamente declarado, los defectos insubsanables de que pudiera estar afectado el recurso de amparo no resultan subsanados porque haya sido inicialmente admitido a trámite,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SSTC 18/2002, de 28 de enero, FJ 3; 158/2002, de 16 de septiembre, FJ 2; 69/2004, de 19 de abril, FJ 3; y 89/2011, de 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esos presupuestos inexcusables para la admisibilidad de toda demanda de amparo se encuentra la exigencia establecida por el art. 44.1 a) LOTC de “que se hayan agotado todos los medios de impugnación previstos por las normas procesales para el caso concreto dentro de la vía judicial”. La exigencia de agotamiento de la vía judicial previa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 Así, el requisito de agotar la vía judicial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la Constitución reserva a la jurisdicción ordinaria (art. 117.3 CE) y al propio tiempo para no desnaturalizar la función jurisdiccional propia de este Tribunal como intérprete supremo de la Constitución (entre otras muchas, SSTC 85/1999, de 10 de mayo, FJ 5; 211/1999, de 29 de noviembre, FJ 2; 71/2000, de 13 de marzo, FJ 3; 128/2002, de 3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las actuaciones conduce a apreciar la concurrencia del óbice aducido por el Ministerio Fiscal en su escrito de alegaciones, a la vista de lo declarado por el Pleno de este Tribunal en casos similares en las recientes SSTC 58/2012, 60/2012 y 63/2012, todas ellas de 29 de marzo, lo que determina la inadmisión del presente recurso de amparo por falta de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el demandante de amparo impugna la providencia de 16 de febrero de 2009 de la Sección Tercera de la Sala de lo Penal de la Audiencia Nacional, por la que se aprueba su licenciamiento definitivo para el día 28 de junio de 2021, resolución confirmada en súplica mediante el Auto de 17 de marzo siguiente, igualmente impugnado en amparo. Ahora bien, el recurrente acude directamente ante este Tribunal sin hacer uso del recurso de casación ante la Sala de lo Penal del Tribunal Supremo previsto en el art. 988 de la Ley de enjuiciamiento criminal, según el cual contra los Autos por los que se determina el límite máximo de cumplimiento en los casos de acumulación de condenas impuestas en distintos procesos pero que hubieran podido ser enjuiciados en un único proceso —art. 70.2 del Código penal de 1973— cabrá interponer recurso de casación por infracción de ley. Tal previsión resulta aplicable a los Autos que aprueban el licenciamiento definitivo en cuanto lo en ellos resuelto incide en el límite concreto de pena privativa de libertad que ha de cumplir el penado. En tal sentido, aun cuando la jurisprudencia del Tribunal Supremo no siempre fue unánime en cuanto a la recurribilidad en casación de los Autos de liquidación de condena, tal incertidumbre fue definitivamente despejada casi un año antes de dictarse las resoluciones impugnadas en amparo mediante el Auto de la Sala de lo Penal del Tribunal Supremo de 7 de abril de 2008, dictado precisamente resolviendo un recurso de queja contra la denegación de la preparación de un recurso de casación contra el Auto desestimatorio del recurso de súplica deducido contra el Auto aprobatorio del licenciamiento definitivo del penado. En él, saliendo expresamente al paso de las incertidumbres precedentes, se deja sentado que el carácter complementario de los Autos de aprobación del licenciamiento definitivo respecto de los que fijan el límite máximo de cumplimiento de penas abona la recurribilidad en casación de los Autos de licenciamiento definitivo en cuanto concretan y fijan definitivamente el máximo de cumplimiento respecto de las penas impuestas, fijación de criterio jurisprudencial que no podía ser ignorada tanto tiempo después por la representación procesal y la defensa letrada del demandante de amparo (SSTC 58/2012, FJ 3; 60/2012, FJ 3 y 63/2012,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Ignacio Pujana Alberdi.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