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17 de septiembre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23 de diciembre de 2009, la Procuradora de los Tribunales doña María del Pilar Pérez Calvo, en nombre y representación de doña Concepción Reyes Martín Gutiérrez, interpuso demanda de amparo contra la Sentencia de la Sección Primera de la Audiencia Provincial de Almería, de 2 de marzo de 2009, dictada en el rollo de apelación núm. 424-2008, dimanante del procedimiento abreviado núm. 51-2008 del Juzgado de lo Penal núm.1 de Almería, relativo a un delito contra la ordenación del territorio, así como contra el Auto de fecha 5 de noviembre de 2009 que desestimó el incidente de nulidad de actuaciones interpuesto frente a la resolución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aduce que las resoluciones judiciales impugnadas han vulnerado derechos garantizados en los arts. 24.1 y 2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solicita en su demanda la suspensión de la ejecución de las resoluciones recurridas. A su juicio, la ejecución haría perder al recurso de amparo su finalidad, tanto si se ejecutara la pena privativa de libertad que le ha sido impuesta (seis meses de prisión con accesoria de inhabilitación especial durante el tiempo de la condena, como autora de un delito del art. 319.2 del Código penal: CP), como si se cumpliera el fallo de la Sentencia de la Audiencia Provincial de Almería en lo referente al acuerdo de demolición de la vivienda objeto de la causa. Aduce, finalmente, que la suspensión solicitada no causaría perjuicios a ningún interés constitucionalmente protegido ni perjuicio para los derechos o intereses de terceras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julio de 2012, la Sala Primera de este Tribunal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26 de julio de 2012 la recurrente presentó en el Registro General de este Tribunal su escrito de alegaciones. Relata que por Auto de 9 de agosto de 2010 se le concedió la suspensión de la pena privativa de libertad por un periodo de dos años, conforme a lo dispuesto en los arts. 80 y 81 CP, de manera que en la fecha actual está prácticamente consolidada con los efectos consabidos, lo que le lleva a modificar el alcance de su solicitud inicial, que finalmente circunscribe a la suspensión del acuerdo de demolición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ese pronunciamiento del fallo de la resolución recurrida, subraya que la vivienda constituye su “domicilio actual” y el de su marido, según acreditaría, dice, el certificado de convivencia expedido por el Ayuntamiento de Abrucena que aporta junto con sus alegaciones, y en el que se certifica, en atención al padrón municipal de habitantes, que ambos figuran inscritos en el domicilio ubicado en la “Carretera de la estación núm. 110” de dicha localidad. Esa vivienda que constituye su “domicilio actual”, según la recurrente, es la que pende del acuerdo de demolición.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perjuicio, caso de llevarse a efecto aquel acuerdo, en consecuencia, sería irreparable, mientras que, por el contrario, sostiene, la suspensión de esa parte del fallo de la Sentencia recurrida no entrañaría una grave perturbación de los intereses generales o de los derechos fundamentales o libertades públicas de terceros. De ello es prueba, en su opinión, que la misma Administración que instó la denuncia que dio lugar a la Sentencia impugnada contemple regularizar edificaciones que se encuentran en la misma situación que la concernida en este proceso, circunstancia que acreditaría que su existencia, aunque se calificara de fuera de ordenación, no supone una perturbación grave de intereses generales. A fin de probar sus afirmaciones, aporta un escrito de febrero de 2007 dirigido por el Alcalde del Ayuntamiento del Abrucena al Juzgado de Instrucción núm. 5 de Almería, a requerimiento de éste en las diligencias previas núm. 28-2007, de las que dimana el procedimiento abreviado núm. 51-2008 en el que se dictó la Sentencia recurrida ante este Tribunal. El requerimiento reclamaba copias testimoniadas de los expedientes administrativos referidos “a una construcción ubicada en el Paraje La Casería, Parcela 44-1 del Polígono 14 en el término municipal de Abrucena” (misma identificación que tiene la vivienda cuya demolición se acuerda en la Sentencia objeto de este proceso constitucional). En su respuesta, el regidor municipal señalaba que “es cierto que en el lugar indicado se halla una edificación. Por otra parte ciertas áreas en torno a La Casería y el Camino Real es intención de este Ayuntamiento declararlas en el PGOU que se está redactando como urbanizables ya que cuenta con la mayoría de los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10 de septiembre de 2012, el Ministerio Fiscal presentó su escrito de alegaciones. Recuerda la doctrina constitucional que dispone que la suspensión cautelar en el proceso de amparo es una medida provisional de carácter excepcional y de aplicación restrictiva, y analiza los supuestos en los que justificadamente puede otorgarse la suspensión, citando, en particular, los relativos a las penas de prisión, penas accesorias y demolición de viviendas. Considera, no obstante, que en lo que interesa a la demolición de la vivienda la recurrente no ha cumplido con la carga de probar que la ejecución de las resoluciones judiciales puede acarrearle un perjuicio que hiciera perder al amparo su finalidad, pues no queda acreditado que se trate de su vivienda habitual, por lo que entiende que se ha de denegar la suspensión solicitada. Considera, en cambio, que procedería la suspensión de la pena privativa de libertad y de la accesoria de inhabilitación, en cuanto que ésta debe seguir la suerte de la pena principal.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expuesto en los antecedentes de esta resolución, la pretensión de suspensión que resolvemos, en congruencia con la petición que formula la recurrente en el trámite de alegaciones de esta pieza, en el que ha desistido de la solicitud adicional de suspensión de la pena privativa de libertad, queda circunscrita al pronunciamiento de la Sentencia dictada por la Sección Primera de la Audiencia Provincial de Almería, de 2 de marzo de 2009, que acuerda la demolición de la vivienda núm. 4 situada en el paraje La Casería, parcela 44 del polígono 14, en el término municipal de Abrucena.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establecido reiteradamente un criterio general de improcedencia de la suspensión de la ejecución de aquellos fallos judiciales que admiten la restitución íntegra de lo ejecutado, como por lo común sucede en los que producen efectos meramente patrimoniales que, por tener un contenido económico, no causan perjuicios de imposible reparación. Sin embargo, se ha apreciado la procedencia de la suspensión en aquellos supuestos en los cuales la afectación de los bienes del recurrente o de sus derechos patrimoniales pudiera devenir definitiva o difícilmente reversible, en cuyo caso aquella regla ha cedido en favor de una ponderación de intereses y valoración de las circunstancias que, eventualmente, han permitido acordar la suspensión de la resolución impugnada. Así ha sucedido, por ejemplo, cuando la ejecución conllevaba el embargo y adjudicación a un tercero de buena fe de ciertos bienes inmuebles, con la consiguiente consolidación de una posición jurídicamente inatacable o de muy difícil y costoso restablecimiento; cuando se declara la resolución de la relación arrendaticia y se acuerda el lanzamiento de la vivienda o local, pues la pérdida de la posesión podría dar lugar a un perjuicio difícilmente reparable en su integridad, al generar una situación irreversible; en supuestos de privación temporal del uso de la vivienda, o, en lo que ahora importa más, de demolición (por todos, ATC 225/1999, de 27 de septiembre), incluso de demolición parcial de la vivienda (ATC 156/2006, de 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doctrina es aplicable al presente caso, puesto que, de llevarse a efecto lo acordado en la Sentencia impugnada en amparo, la demandante se vería privada definitivamente de la posesión y goce de la vivienda controvertida, produciéndosele con ello un perjuicio que cabría calificar de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Discrepa de esta apreciación el Ministerio Fiscal, para quien no se ha justificado el daño irreparable que sufriría la recurrente. Sustenta tal alegación en que quien solicita la suspensión no ha demostrado que la vivienda afectada sea su domicilio habitual.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carácter habitual de la residencia no es condición para la suspensión en casos de demolición. En efecto, pese a lo que se afirma, ese criterio no se desprende de nuestra doctrina, no estableciéndose en los Autos citados por el Ministerio público, tres de ellos referidos a supuestos de desalojo de vivienda, no de demolición (AATC 20/1992, de 27 de enero; 155/2002, de 14 de junio, y 268/2009, de 26 de noviembre), y otro a un supuesto de demolición en el que, ciertamente, el carácter de vivienda habitual concurría, pero no fue condicionante en nuestro razonamiento (ATC 156/2006, de 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cualquier modo, ni siquiera podría negarse aquel carácter en la vivienda controvertida, pues no se puede soslayar que la recurrente ha venido ocupando la misma al menos desde el 30 de septiembre de 2003, según se desprende del certificado de convivencia aportado, fundado en el padrón, lo que añadiría a la demolición misma el perjuicio adicional que supone la privación definitiva de esa vivienda concreta, por el natural y prolongado arraigo de la recurrente en ese domicilio (ATC 268/2009, de 26 de noviembre, FJ 3). No obstante, ese elemento del carácter habitual de la vivienda, no determinante, para tomarse en consideración hubiera exigido previamente asegurar la correspondencia entre las dos referencias domiciliarias, pues no coinciden las del certificado de convivencia aportado y la contenida en la resolución judicial recurrida. No será preciso proceder a dicha comprobación, conforme a lo expuesto líneas más atrás.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cabe concluir que de no otorgarse la suspensión solicitada, una eventual estimación del recurso de amparo resultaría tardía para el restablecimiento de los derechos fundamentales que fueran declarados vulnerados, puesto que la controvertida demolición de la vivienda podría haberse producido. Y según hemos declarado anteriormente, la demolición de la vivienda es uno de los supuestos excepcionales en los que procede la suspensión de la resolución impugnada, ya que el perjuicio sería de difícil reparación (AATC 225/1999, de 27 de septiembre, FJ 3; y 156/2006, de 8 de mayo, FJ 2). A ello cabe añadir, por ser ésta sí condición de la suspensión, que no se percibe en este momento procesal, atendidas las circunstancias del presente caso, que la suspensión de la ejecución pueda entrañar una perturbación grave de los intereses generales o de los derechos fundamentales y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sin prejuzgar la decisión de fondo del recurso, procede acordar la suspensión del pronunciamiento de la Sentencia de la Sección Primera de la Audiencia Provincial de Almería, de 2 de marzo de 2009, relativo a la demolición de la vivienda núm. 4, situada en el paraje La Casería, parcela 44 del polígono 14, en el término municipal de Abrucena.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Otorgar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