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19 de septiembre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febrero de 2012, don Federico Riesco García, interpuso demanda de amparo contra Sentencia de la Sección Séptima de la Sala de lo Contencioso-Administrativo del Tribunal Supremo recaído en recurso de casación núm. 6009-2008 contra la dictada por la Sala de lo Contencioso-Administrativo del Tribunal Superior de Justicia de Castilla y León, con sede en Valladolid en procedimiento ordinario núm. 257-2007.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17 de septiembre de 2012, el Magistrado Excmo. Sr. don Juan José González Rivas manifestó su voluntad de abstenerse en el presente recurso de amparo y todas sus incidencias, por entender que concurría la causa establecida en el artículo 219.11 de la Ley Orgánica del Poder Judicial, supletoria de la Ley Orgánica 2/1979, de 3 de octubre, del Tribunal Constitucional (artículo 80), al haber intervenido en instancia anterior, toda vez que fue Presidente de la Sala de lo Contencioso-Administrativo del Tribunal Supremo de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este Tribunal,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de abstención del párrafo 11 del artículo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Juan José González Rivas en el recurso de amparo núm. 829-2012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septiembre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