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21 de marzo de 2012, la Procuradora de los Tribunales doña María del Naranco Sevilla Iglesias, en nombre y representación de Mobel Linea, S. L., y bajo la dirección del Letrado don Antonio Martínez Lafuente, interpuso demanda de amparo contra diligencia de ordenación, providencia y Auto de la Sección Primera de la Sala de lo Contencioso-Administrativo del Tribunal Supremo, recaídos en recurso de casación núm. 314-2011 contra Sentencia dictada por la Sección Segunda de la Sala de lo Contencioso-Administrativo de la Audiencia Nacional en recurso núm. 389-2007.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10 de septiembre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 3 de octubre, del Tribunal Constitucional (artículo 80), al haber intervenido en instancia anterior en su condición de Magistrado de la Sala de lo Contencioso-Administrativo del Tribunal Supremo que dictó el Auto de 3 de noviembre de 2011.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del artículo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1660-2012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veintiséis de septiembre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