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2012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18 de junio de 2012, la Procuradora de los Tribunales doña Rosa Sorribes Calle, en nombre y representación de Obres i Construccions Lujano, S. L., interpuso demanda de amparo contra Auto de la Sección Primera de la Sala de lo Contencioso-Administrativo del Tribunal Supremo recaído en recurso de queja núm. 36-2011 contra el dictado por la Sección Séptima de la Sala de lo Contencioso-Administrativo de la Audiencia Nacional, en recurso núm. 146-2009.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11 de septiembre de 2012,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2/1979, de 3 de octubre, del Tribunal Constitucional (artículo 80), al haber intervenido en instancia anterior en su condición de Magistrado de la Sala de lo Contencioso-Administrativo del Tribunal Supremo que dictó la resolución impugnada.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del artículo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3687-2012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veintiséis de septiembre de dos mil doce.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