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3 de octubre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julio de 2012, el Procurador de los Tribunales don Eduardo Codes Feijoo, en nombre y representación de Promociones Jafit, S.L., y bajo la dirección de la Letrada doña Ana Ribó López, interpuso demanda de amparo contra Sentencia de la Sección Tercera de la Sala de lo Contencioso-Administrativo del Tribunal Supremo recaída en recurso de casación núm. 172-2011 contra la dictada por el Tribunal Superior de Justicia de Asturias en recurso contencioso-administrativo núm. 1406-2008.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26 de septiembre de 2012, el Magistrado Excmo. Sr. don Juan José González Rivas manifestó su voluntad de abstenerse en el presente recurso de amparo y todas sus incidencias, por entender que concurría la causa establecida en el artículo 219.11 de la Ley Orgánica del Poder Judicial, supletoria de la Ley Orgánica 2/1979, del Tribunal Constitucional (artículo 80), al haber intervenido en instancia anterior, toda vez que en su condición de Magistrado de la Sala de lo Contencioso-Administrativo del Tribunal Supremo, formó parte de la Sección Primera de la Sala Tercera del Tribunal Supremo, que dictó el Auto de 14 de Julio de 2011, que constituye el antecedente inmediato de la Sentencia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este Tribunal,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de abstención del párrafo 11 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Juan José González Rivas en el recurso de amparo núm. 4175-2012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