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octubre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22 de febrero de 2012, el Procurador de los Tribunales don Francisco Velasco Muñoz-Cuellar, en nombre y representación de la Sociedad HD Covalco, S.A., y bajo la dirección del Letrado don Miró Ayats Vergés, interpuso demanda de amparo contra Autos de la Sección Primera de la Sala de lo Contencioso-Administrativo del Tribunal Supremo recaídos en recurso de casación núm. 3731-2010 contra Sentencia dictada por la Sección Segunda de la Audiencia Nacional en recurso núm. 483-2006.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11 de octubre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del Tribunal Constitucional (artículo 80), al haber intervenido en instancia anterior, toda vez que en su condición de Magistrado de la Sala de lo Contencioso-Administrativo del Tribunal Supremo, formó parte de la Sección Primera de la Sala Tercera del Tribunal Supremo, que dictó los Autos de 7 de julio y 15 de diciembre de 2011, que han sido recurridos en el citado recurso de amparo.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1019-2012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diecisiete de octubre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