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2012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21 de marzo de 2012, el Procurador de los Tribunales don José Guerrero Tramoyeres, en nombre y representación de Endesa, S.A., y Endesa Generación, S.A., y bajo la dirección del Letrado don Juan José Lavilla Rubira, interpuso demanda de amparo contra el Auto de la Sección Primera de la Sala de lo Contencioso-Administrativo del Tribunal Supremo, dictado en recurso núm. 6236-2010 dimanante de la Sección Primera de la Audiencia Nacional en recurso núm. 632-2008.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25 de octubre de 2012,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 (artículo 80), al haber intervenido en instancia anterior, toda vez que en su condición de Magistrado de la Sala de lo Contencioso-Administrativo del Tribunal Supremo, formó parte de la Sección Primera de la Sala Tercera del Tribunal Supremo, que dictó los Autos de 30 de junio de 2011 y 19 de enero de 2012, que han sido recurridos en el citado recurso de amparo.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1664-2012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veintiséis de octubre de dos mil doce.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