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12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5391-2009, promovido por doña Itziar Martínez Sustatxa, representada por la Procuradora de los Tribunales doña María Elvira Encinas Lorente y asistida por el Abogado don Iñaki Goyoaga Llano, contra la providencia de 7 de abril de 2009, de la Sección Tercera de la Sala de lo Penal de la Audiencia Nacional, dictada en la ejecutoria núm. 79-1996, dimanante del rollo de Sala núm. 110-1992, sumario núm. 33-1992 del Juzgado Central de Instrucción núm. 5, y contra el Auto de 27 de abril de 2009 que desestimó el recurso de súplica interpuesto frente a dicha resolución, por los que se fija el 25 de agosto de 2021 como fecha de licenciamiento definitivo de las penas acumuladas que cumple la recurrente.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junio de 2009, doña Itziar Martínez Sustatxa anunció su deseo de recurrir en amparo el Auto de 27 de abril de 2009 que desestimó el recurso de súplica interpuesto frente a la anterior providencia de 7 de abril dictados por la Sección Tercera de la Sala de lo Penal de la Audiencia Nacional en la ejecutoria núm. 79-1996, dimanante del rollo de Sala núm. 110-1992, sumario núm. 33-1992 del Juzgado Central de Instrucción núm. 5. Para ello designó al Letrado señor Goyoaga Llano y solicitó la designación de Procurador del turno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designación solicitada, la Procuradora señora Encinas Lorente, dentro del plazo que le fue concedido, interpuso el 25 de noviembre de 2009 recurso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tal y como derivan de las actuaciones recibidas,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fue condenada conforme al Código penal (CP) de 1973 en tres causas penales seguidas por delitos de terrorismo. Las condenas impuestas (de seis años y un día, treinta y nueve años y un día, y veintiséis años de privación de libertad) fueron procesalmente acumuladas por la Sección Tercera de la Sala de lo Penal de la Audiencia Nacional, último Tribunal sentenciador, en la ejecutoria núm. 79-1996 en la que, por Auto de 28 de septiembre de 1998, se fijó en treinta años de privación de libertad el límite máximo de cumplimiento de todas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de 4 de marzo de 2009, el director del centro penitenciario de Dueñas (Palencia), en el que se encontraba interna la demandante, solicitó al Tribunal sentenciador la aprobación del licenciamiento definitivo de la penada para el día 4 de junio de 2009. Sobre dicha propuesta fue oído el Ministerio Fiscal que, en escrito de 17 de marzo siguiente, informó favorablemente la misma. La Sección Tercera de la Sala de lo Penal de la Audiencia Nacional, mediante providencia de 23 de marzo de 2009, aprobó el licenciamiento definitivo para la fecha propuesta, lo que comunicó al centro penitenciario al que solicitó le remitiera certificado de licenciamiento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 de abril siguiente, el director del centro penitenciario se dirigió de nuevo al Tribunal sentenciador solicitando aclaración acerca de la posible aplicación a la penada de los criterios de cómputo de redención fijados en la STS 197/2006. Por providencia de 7 de abril de 2009, la Sección acordó requerir al director del centro penitenciario para que formulara nueva propuesta de licenciamiento definitivo en aplicación de la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13 de abril de 2009, la penada recurrió en súplica dicha providencia solicitando su nulidad, poniendo de manifiesto el carácter firme de la anterior, de 24 de marzo, que aprobaba que fuera excarcelada el 4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recibió el 15 de abril un oficio del director del centro penitenciario en el que se indicaban las posibles fechas de licenciamiento definitivo en función del criterio de cómputo de redención que se aplicase, señalando que, de seguirse el fijado en la STS 197/2006, la fecha de excarcelación sería el 25 de agosto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27 de abril de 2009, la Sección Tercera de la Sala de lo Penal de la Audiencia Nacional desestimó el recurso de súplica, mantuvo la providencia de 7 de abril impugnada y acordó, a la vista de la última propuesta formulada por el centro penitenciario, que, de conformidad con el criterio establecido por la citada Sentencia de la Sala de lo Penal del Tribunal Supremo, el licenciamiento definitivo de la penada debería tener lugar el 25 de agosto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dicho Auto la penada presentó el 1 de junio de 2009 una solicitud de nulidad de actuaciones, la cual fue inadmitida a trámite por providencia de 23 de junio siguiente, catorce días después de que, el 9 de junio, la demandante hubiera solicitado de este Tribunal Constitucional que se diera trámite al presente recurso de amparo mediante la designación de Procurador del turno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justificar la especial trascendencia constitucional del recurso en la necesidad de un pronunciamiento del Tribunal Constitucional sobre una cuestión que era entonces novedosa en su jurisprudencia (la doctrina de la Sala de lo Penal del Tribunal Supremo fijada en la Sentencia 197/2006, de 28 febrero, sobre el cómputo de la redención de penas en caso de cumplimiento de penas acumuladas), cuestión que, además, se considera que trasciende al caso concreto y afecta a numerosos penados que se hallan cumpliendo diversas penas acumuladas a cuyo cumplimiento se ha fijado un límite máximo, la recurrente invoca como vulnerados en su demanda de amparo los derechos fundamentales a la igualdad (art. 14 CE) a la libertad y seguridad (art. 17.1 CE), a la tutela judicial efectiva (art. 24.1 CE), a la defensa (art. 24.2 CE); así como el principio de legalidad y seguridad jurídica, y la orientación de las penas privativas de libertad y medidas de seguridad hacia la reeducación y reinserción social (art. 25.1 y 2 CE), fundamentando su demanda de amparo en los ocho motivos o quejas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aduce la vulneración del principio acusatorio, del derecho a la defensa y a la contradicción en relación con el derecho a la tutela judicial efectiva y a un proceso público con todas las garantías, y “todo ello en relación con el derecho a la libertad, recogido en el artículo 17 de la CE”. Con cita de las SSTC 11/1987 y 123/2005, la demanda expone que la providencia de 7 de abril de 2009, ratificada por el posterior Auto de 27 de abril, se dictaron sin dar traslado a la penada o a su defensa del escrito de 3 de abril de 2009 del centro penitenciario por el que se solicitaba aclaración sobre la fecha de licenciamiento definitivo, por lo que no se dio a la demandante la posibilidad de discutir previamente su contenido ni la aplicación en su caso del criterio de cómputo de la redención finalmente aplicado, asumiendo el órgano judicial funciones acusatorias, rompiendo así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amparo se afirma la vulneración del principio de legalidad (art. 25.1 y 2 CE), en relación con la interpretación de los arts. 70.2 y 100 CP 1973, así como de los arts. 66 del Reglamento de prisiones de 1956 y del art. 202 del Reglamento penitenciario vigente. Argumenta, en tal sentido, que la interpretación llevada a cabo por el Tribunal Supremo, y aplicada en el presente caso, es ajena al tenor literal de dichas normas, pudiendo calificarse como extravagante, imprevisible e irrespetuosa, por ser contraria a la que venía siendo realizada hasta la fecha por los órganos judiciales, incluido el propio Tribunal Supremo. Entiende que dicha interpretación, en el caso de delitos graves, supone de hecho un agravamiento de su condena al situar el límite máximo de cumplimiento efectivo de la condena más allá de la aplicación de la redención o de la sujeción al tratamiento penitenciario, haciendo abstracción del art. 25 CE. Afirma que las resoluciones impugnadas niegan el carácter de beneficio penitenciario a las redenciones de condena. Expone que el art. 100 CP las configura como tiempo de “cumplimiento”, debiendo aplicarse a efectos de la liquidación de condena, y señala que, según el art. 202 del Reglamento penitenciario, suponen una reducción de la condena impuesta por el tiempo efectivo de internamiento. Entiende que deben descontarse del tiempo máximo de cumplimiento los beneficios penitenciarios y por tal razón considera que tendría extinguida su condena desde el 4 de junio de 2009. Posteriormente cita los arts. 66 y 71.3 del Reglamento de servicios y prisiones de 1956, para reforzar su afirmación de la procedencia de descontar del máximo de cumplimiento, y no de cada una de las penas individualmente considerada, los beneficios que supongan un acortamiento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se denuncia la vulneración del derecho a la tutela judicial efectiva (art. 24.1 CE), en relación con el derecho a la libertad (art. 17.1 CE). Sostiene la demanda que la nueva interpretación del cómputo de las redenciones sobre la totalidad de la condena le genera indefensión e inseguridad jurídica, pues las redenciones aprobadas por los Juzgados de vigilancia penitenciaria, intangibles y firmes, aplicadas —como se venía haciendo— al tope de treinta años, suponían un acortamiento de dicha duración. El trabajo y los estudios en la prisión se realizaron en la confianza de que las redenciones así obtenidas implicarían un acortamiento del tiempo de permanencia en prisión, y se generó una expectativa de acortamiento sobre la base de la actuación de los Juzgados de vigilancia penitenciaria y las Audiencias que aprobaron las redenciones propuestas por las diferentes prisiones. La defraudación de esa expectativa con la nueva doctrina aplicada genera inseguridad jurídica y vulnera el derecho a la tutela judicial efectiva, en relación con el derecho a la libertad, que implica un deber reforzado de motivación. Citando la STC 174/1989, afirma que se habría lesionado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cuarto motivo de amparo se argumenta la violación del derecho a la tutela judicial efectiva (art. 24.1 CE), en cuanto garantiza la intangibilidad de las resoluciones judiciales firmes, y en relación con los principios de legalidad y seguridad jurídica. Se afirma que el Auto que acordó acumular las condenas impuestas a la penada fijando en una duración de treinta años de privación de libertad el tiempo máximo de cumplimiento significa la conformación de una sola condena susceptible de reducción por redención de penas. Cuestiona que sea una resolución de mero trámite la providencia de 23 de marzo de 2009 que aprobó la inicial propuesta de licenciamiento definitivo, por lo que sólo podía ser modificada mediante los recursos previstos por la ley. En tal medida, al no haber sido recurrida, la misma devino firme e intangible.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quinto motivo de amparo, se afirma la vulneración del principio de legalidad (arts. 25.1 y 9.3 CE), entendiéndose que las resoluciones efectúan una aplicación retroactiva de una norma penal desfavorable, en relación con los arts. 7 del Convenio europeo para la protección de los derechos humanos y de las libertades fundamentales (CEDH) y 15 del Pacto internacional de derechos civiles y políticos (PIDCP). Considera que la resolución impugnada realiza una aplicación fraudulenta del art. 78 CP 1995, violándose así la legalidad cuando se hace una aplicación de una norma penal, cuya entrada en vigor sea posterior al hecho enjuiciado, si resulta imprevisible concluir que dicha norma era más beneficiosa para el acusado. Afirma que el Código penal de 1973 no contempla aplicar la redención sobre cada una de las penas; indica que tal posibilidad sí se contempla en el Código penal de 1995, en relación con los beneficios penitenciarios y la libertad condicional, por lo que entiende que la Sentencia del Tribunal Supremo no efectúa una nueva interpretación del art. 70.2 CP sino que lo que de facto realiza es una aplicación retroactiva del criterio establecido en el art. 78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sexto lugar, e invocando el derecho a la igualdad en la aplicación de la ley (art. 14 CE), con cita de la STC 144/1988,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y el Voto particular de la STS 197/2006). Afirma que se trata de una nueva lectura del art. 70.2 CP 1973 provocada por factores extrajudiciales, dados los sujetos pasivos a los que afecta, y por las circunstancias en que se adopta la decisión, suponiendo, por tanto, un cambio de criterio ad personam.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séptimo motivo de amparo se alega, de nuevo, la vulneración del derecho a la libertad personal (art. 17.1 CE). Tras poner de relieve que, conforme a la jurisprudencia de este Tribunal, la redención de penas por el trabajo afecta al derecho a la libertad (SSTC 31/1999 y 76/2004), se sostiene que el mencionado cambio de criterio jurisprudencial contra el reo modifica su expectativa de libertad, implicando un alargamiento de su estancia en prisión, sin base legal ni reglamentaria y en contra de la práctica habitual y pacífica. Reproduce parcialmente el Voto particular de la STS 197/2006, añadiendo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Indica que la demandante cumplió la condena el 4 de junio de 2009, según se desprende de la liquidación de condena realizada por la prisión de Dueñas (Palencia). Por todo ello, estima que las resoluciones impugnadas violan el art. 17 CE y los arts. 5 y 7.1 CEDH, así como los arts. 9.1 y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alega la vulneración del art. 25.2 CE en relación con las reglas mínimas para el tratamiento de los reclusos y el Pacto internacional de derechos civiles y políticos, al incumplir el principio conforme al cual las penas privativas de libertad y medidas de seguridad deben ir orientadas hacia la reeducación y reinserción social. Indica que la reclusión excesivamente prolongada puede producir efectos irreparables en la personalidad, y que la institución de redención de penas estaba orientada a la resocialización y reeducación, objetivos que no pueden satisfacerse con la interpretación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solicitando por otrosí en la demanda la suspensión de la ejecución de las resoluciones judiciales impugnadas, medida cautelar ésta que reiteró en escritos registrados el 5 y 29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de la Ley Orgánica del Tribunal Constitucional (LOTC), requerir atentamente a la Sección Tercera de la Sala de lo Penal de la Audiencia Nacional para que en el plazo no superior a diez días remitiera testimonio de las actuaciones correspondientes a la ejecutoria núm. 79-1996, interesándose al propio tiempo el emplazamiento de quienes fueron parte en el procedimiento, a excepción de la recurrente, ya personada,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Sala acordó la formación de pieza separada para la tramitación del incidente sobre la suspensión solicitada, concediendo a la recurrente y al Ministerio Fiscal un plazo común de tres días para que alegasen lo que estimasen pertinente sobre dicha suspensión. Evacuado dicho trámite de alegaciones, la Sala desestimó la solicitud de suspensión mediante Auto de 7 de mayo de 2012, ratificado en su contenido por providencia de 21 de agosto siguiente, desestimatoria de una nueva solicitud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3 de septiembre de 2012, se tuvieron por recibidos los testimonios de las actuaciones remitidos por la Sección Tercera de la Sala de lo Penal de la Audiencia Nacional y se procedió, conforme a lo establecido en el art. 52 LOTC, a dar vista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presentó su escrito de alegaciones en este Tribunal el 5 de octubre de 2012, en el que ratifica y renueva las formuladas en la demanda de amparo, con cita, en relación con el motivo primero, de la STC 11/1987, cuya doctrina considera aplicable al caso. Sobre el segundo motivo considera aplicable la ratio de la doctrina que en la STC 57/2008 condujo a la estimación del amparo solicitado. En relación con las cuestiones de fondo pone de relieve la similitud fáctica de su caso con el abordado y resuelto en la STC 62/2012, de 29 de marzo, que considera aplicable. En lo demás, ratifica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en este Tribunal su escrito de alegaciones el 16 de octubre de 2012. En ellas pone de relieve que las resoluciones impugnadas en el presente proceso de amparo lo fueron también posteriormente en un nuevo escrito que ha dado lugar a un nuevo proceso de amparo con núm. 7468-2009, en el que junto a éstas se impugnó también la providencia de 23 de junio de 2009 por la que la Sección Tercera de la Sala de lo Penal de la Audiencia Nacional inadmitió la solicitud de nulidad de actuaciones instada por la demandante el 1 de junio contra el Auto de 27 de abril de 2009 que señaló nueva fecha de licenciamiento definitivo. Dicho recurso de amparo núm. 7468-2009 concluyó por medio de la STC 60/2012, de 29 de marzo, que lo inadmitió al apreciar falta de agotamiento de la vía judicial previa por no haber intentado la recurrente acudir en la vía judicial previa al recurso de casación que podía interponerse contra el Auto de 27 de abril que fijó nueva fecha de licenciamiento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siendo el objeto del presente proceso de amparo exactamente el mismo del ya reseñado recurso de amparo 7498-2009, que fue inadmitido en Sentencia, considera que procede su inadmisión por la misma causa entonces apreciada, es decir, por falta de agotamiento de la vía judicial previa, al haberse acudido directamente al amparo sin haber intentado el recurso de casación. Subsidiariamente, para el caso de que no fuera apreciada la concurrencia de la causa de inadmisión señalada, el Fiscal interesa la estimación de la pretensión de amparo de conformidad con lo resuelto en la STC 62/2012, de 29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noviembre de 2012 se acordó señalar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Tercera de la Sala de lo Penal de la Audiencia Nacional, de 27 de abril de 2009, desestimatorio del recurso de súplica interpuesto contra la providencia de 7 de abril de 2009, por la que se acordó fijar como nueva fecha para el licenciamiento definitivo de la recurrente el día 25 de agosto de 2021, en aplicación del criterio establecido por la Sentencia de la Sala de lo Penal del Tribunal Supremo núm. 197/2006, de 28 de febrero, según la cual, en caso de condenas acumuladas, la redención de penas por el trabajo ha de computarse sobre cada una de las penas impuestas que se cumplen sucesivamente por orden de gravedad y no sobre el límite máximo de cumplimiento efectivo que pudiera haberse fijado en aplicación del art. 70.2 del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 los derechos fundamentales a la tutela judicial efectiva sin indefensión (art. 24.1 CE); del derecho de defensa (art. 24.2 CE), a la legalidad de las infracciones y sanciones (art. 25.1 CE), en conexión con los principios del art. 9.3 CE; a la tutela judicial efectiva en la vertiente que garantiza la intangibilidad de las resoluciones judiciales firmes (art. 24.1 CE), en relación con los principios de legalidad y seguridad jurídica (art. 9.3 CE); y a la igualdad en la aplicación de la ley (art. 14 CE); todo ello en relación con el derecho a la libertad personal (art. 17.1 CE). También se alega la vulneración del art. 25.2 CE en relación con las reglas mínimas para el tratamiento de los reclusos y el Pacto internacional de derechos civiles y políticos, al incumplir el principio de que las penas privativas de libertad y medidas de seguridad deben ir orientadas hacia la reeducación y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con carácter principal la inadmisión del recurso de amparo ex arts. 44.1 a) y 50.1 a) de la Ley Orgánica del Tribunal Constitucional (LOTC), por considerar incumplido el requisito del agotamiento de la vía judicial y, subsidiariamente, su estimación por considerar vulnerado el derecho a la tutela judicial efectiva en cuanto garantiza la intangibilidad de las resoluciones judiciales firmes, tal y como se resolvió en la STC 62/2012, de 29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venimos recordando reiteradamente,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y STC 89/2011, de 6 de junio, FJ 2).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Este requerimiento viene expresamente dispuesto por el art. 44.1 a) LOTC al exigir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examen de las actuaciones remitidas el pasado 25 de junio de 2012 por la Sala de lo Penal de la Audiencia Nacional, tras acordar la admisión a trámite de la presente demanda de amparo, permite constatar una actuación procesal de parte a la que la demandante no ha hecho referencia alguna a lo largo de este proceso de amparo, que permite apreciar la concurrencia de la causa de inadmisión de falta de agotamiento de la vía judicial previa [art. 50.1 a), en relación con el art. 44.1 a) LOTC], por haberse simultaneado el presente recurso de amparo con una solicitud de nulidad de actuaciones presentada contra el mismo Auto de 27 de abril de 2009, impugnado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puesto de manifiesto que 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restablecerlos. En relación con ello,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SSTC 32/2010, de 8 de julio, FJ 2 y 105/2011,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una vez recibidas las actuaciones judiciales de la ejecutoria núm. 79-1996 en la que se dictaron las resoluciones cuestionadas en amparo, ha quedado acreditado que el 1 de junio de 2009, la representación procesal de la recurrente, con asistencia letrada, tras serle notificado el Auto de 27 de abril de 2009 que impugna en este proceso, procedió, al amparo de lo establecido en el art. 241.1 de la Ley Orgánica del Poder Judicial, a solicitar la nulidad de dicha resolución y de la providencia recurrida en súplica alegando la supuesta vulneración de los arts. 17, 24.1, 25.1 y 2 de la Constitución. Esta solicitud de nulidad fue posteriormente inadmitida a trámite mediante providencia de 23 de junio. Pero en el ínterin, mientras se tramitaba la solicitud de nulidad de actuaciones, doña Itziar Martínez Sustatxa acudió a este Tribunal Constitucional mediante escrito registrado 9 de junio de 2009 anunciando su deseo de recurrir en amparo el citado Auto de 27 de abril, designando asistencia letrada al efecto y solicitando la designación de Procurador del turno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pone de manifiesto que cuando el 9 de junio de 2009 formuló su solicitud de amparo con designación de Letrado y paralela petición de designación de Procurador de oficio, mantenía abierta la vía judicial previa, merced a una solicitud de nulidad de actuaciones que no fue definitivamente resuelta sino catorce días más tarde, el 23 de junio siguiente. Por tanto, concurre el óbice procesal de falta de agotamiento de la vía judicial previa [art. 50.1 a), en relación con el art. 44.1 a) LOTC], al haberse hecho coexistir esta jurisdicción de amparo con la vía judicial ordinaria, pues, como este Tribunal ha puesto de manifiesto en anteriores ocasiones, es la fecha en la que se registra en este Tribunal la solicitud de amparo, con o sin simultánea solicitud de designación de Abogado o Procurador de oficio, la que marca el dies ad quem de su interposición (ATC 163/2009, de 21 de mayo, FJ 2), pues con este proceder procesal la demandante compareció ante este Tribunal Constitucional cuando aún no se habían resuelto los medios de impugnación que había puesto en marcha dentro de la vía judicial previa, provocando así la coexistencia temporal de ambos procedimientos, el de la jurisdicción ordinaria y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que antecede resulta procedente dictar Sentencia inadmitiendo el recurso de amparo por falta de agotamiento de la vía judicial previa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doña Itziar Martínez Sustatxa.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