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26 de noviembre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22 de diciembre de 2011, I.G. Llanerastur, S.L., representada por la Procuradora de los Tribunales doña Patricia Bosch Iglesias y asistida por el Letrado don Constantino Vaquero Pastor, interpuso recurso de amparo contra el Auto dictado el 28 de octubre de 2011 por el Juzgado de Primera Instancia núm. 2 de Avilés, que desestimó la petición de nulidad de actuaciones promovida en el proceso de ejecución hipotecaria núm. 777-2009. La demanda de amparo solicita se dicte Sentencia declarando que se ha vulnerado el derecho de la recurrente a la tutela judicial efectiva y, a tal fin, anulando el Auto de 28 de octubre de 2011 recurrido y todos los actos procesales posteriores al Auto de fecha 4 de noviembre de 2009 o, con carácter subsidiario, a la providencia de fecha 26 de marzo de 2010, con retroacción de actuaciones. La vulneración invocada se hubiera producido al subastarse un bien que ya no estaba en el patrimonio del deudor ejecutado, sino que pertenecía a un tercero que desconocía la existencia del procedimiento y no era parte en el mismo, privándole de su derecho a ser oído e impidiéndole con ello ejercer la defensa de sus legítimos derechos e intereses sobre el citado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se solicita, al amparo de lo dispuesto en el art. 56.3 de la Ley Orgánica del Tribunal Constitucional (LOTC), la anotación preventiva de la demanda de amparo constitucional en el Registro de la Propiedad y sucintamente expuestos, los hechos relevantes para resolver la pretensión de que se adopte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instancias de la entidad Banco Sabadell, el Juzgado de Primera Instancia núm. 2 de Avilés inició procedimiento de ejecución hipotecaria número 777-2009, en fecha 3 de septiembre de 2009, contra doña María del Carmen García González y don Ubaldo López Flores y contra la finca registral hipotecada núm. 4.240, inscrita en el Registro la Propiedad núm. 1 de Avilés.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diferentes gestiones conducentes a la averiguación del domicilio de los ejecutados, y habiéndolo finalmente hecho en el nuevo domicilio obtenido a doña María del Carmen García y por comunicación edictal al otro ejecutado, se siguieron todos los pasos legalmente previstos del procedimiento, que finalizó con el Auto que aprobó el remate firme sin que frente a él hubiera lugar a recurso alguno y la vivienda objeto de la ejecución fue inscrita a favor de los adjudicatarios en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consta en las actuaciones dimanantes del procedimiento de ejecución hipotecaria 777-2009 seguido en el Juzgado de Primera instancia núm. 2 de Avilés que dio lugar a la inscripción de dominio y cancelación de cargas, tras adjudicación en subasta, en la finca núm. 4.240, tomo 2.311, libro 418, identificador único 330200000 12719.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IG Llanestur, S.L., —demandante en amparo— que a la sazón era titular del dominio en virtud de subasta llevada a cabo por la Agencia Estatal de la Administración Tributaria (AEAT), inscrito en el Registro de la Propiedad el 11 de marzo de 2008, alega no haber sido notificada en ningún momento durante el proceso de ejecución hipotecaria de la venta forzosa de la finca y, según afirma, tomó conocimiento de su existencia cuando “en los primeros días del mes de junio de 2011 y con motivo de una gestión en la oficina de la seguridad social ... se le informa de que la vivienda ha sido objeto de ejecución hipotecaria, ha sido subastada y aparece inscrita a nombre de otra persona diferente, facilitándole los datos del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 este Tribunal acordó la admisión a trámite de la demanda de amparo, acordándose formar la correspondiente pieza separada de suspensión y, de conformidad con lo previsto en el art. 56 de la Ley Orgánica del Tribunal Constitucional,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presentó un escrito el 7 de noviembre de 2012, en el que afirma que se ratifica en la petición de suspensión solicitada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12 de noviembre de 2012, el Ministerio Fiscal interesa que se dicte auto ordenando la anotación preventiva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de este Tribunal Constitucional de adoptar medidas cautelares en los procesos de amparo, reconocida en el art. 56 de la Ley Orgánica del Tribunal Constitucional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como en el presente caso se solicita como medida cautelar la anotación preventiva de la demanda de amparo en el Registro de la Propiedad, hemos señalado en ocasiones precedentes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limitándose nuestra decisión en esta materia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este Tribunal está facultado para acordar tal medida a fin de garantizar los derechos del demandante de amparo frente a eventuales actos de disposición, mediante el anuncio registral frente a terceros de la pendencia del proceso constitucional con sus eventuales consecuencias sobre los derechos inscritos. De este modo, a través de la publicidad registral que garantiza la anotación preventiva, se consigue cautelarmente, frente a los actos posteriores que puedan perjudicarlos, preservar los derechos del demandante de amparo afectados por la vulneración del derecho fundamental objeto del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Ordenar la anotación preventiva de la demanda de amparo en el Registro de la Propiedad, a cuyo efecto el Juzgado de Primera Instancia núm. 2 de Avilés expedirá el mandamiento oportuno dirigido al Registro de la Propiedad núm. 1 de Avilés, para que pueda practicarse la correspondiente anotación en relación con el inmueble a que se refieren las presentes en las actuaciones dimanantes del procedimiento de ejecución hipotecaria 777-2009.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